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C6E5" w14:textId="77777777" w:rsidR="00000F54" w:rsidRDefault="00000F54" w:rsidP="0005316A">
      <w:pPr>
        <w:pStyle w:val="NoSpacing"/>
        <w:tabs>
          <w:tab w:val="left" w:pos="5040"/>
        </w:tabs>
        <w:rPr>
          <w:b/>
          <w:caps/>
        </w:rPr>
      </w:pPr>
      <w:r>
        <w:rPr>
          <w:b/>
          <w:caps/>
        </w:rPr>
        <w:t xml:space="preserve">Operating and Capital Funds </w:t>
      </w:r>
    </w:p>
    <w:p w14:paraId="318013EC" w14:textId="41EA2D3B" w:rsidR="0005316A" w:rsidRPr="00BD3BD5" w:rsidRDefault="004613A2" w:rsidP="0005316A">
      <w:pPr>
        <w:pStyle w:val="NoSpacing"/>
        <w:tabs>
          <w:tab w:val="left" w:pos="5040"/>
        </w:tabs>
      </w:pPr>
      <w:r>
        <w:rPr>
          <w:b/>
          <w:caps/>
        </w:rPr>
        <w:t>INVESTMENTS</w:t>
      </w:r>
      <w:r w:rsidR="0005316A" w:rsidRPr="005261CF">
        <w:rPr>
          <w:b/>
          <w:caps/>
        </w:rPr>
        <w:t xml:space="preserve"> POLICY</w:t>
      </w:r>
      <w:r w:rsidR="0005316A" w:rsidRPr="00BD3BD5">
        <w:rPr>
          <w:b/>
        </w:rPr>
        <w:tab/>
        <w:t>Approving Authority</w:t>
      </w:r>
      <w:r w:rsidR="0005316A" w:rsidRPr="00BD3BD5">
        <w:t>: Board of Directors</w:t>
      </w:r>
    </w:p>
    <w:p w14:paraId="198916EF" w14:textId="69BBCE63" w:rsidR="0005316A" w:rsidRPr="00BD3BD5" w:rsidRDefault="0005316A" w:rsidP="0005316A">
      <w:pPr>
        <w:pStyle w:val="NoSpacing"/>
        <w:tabs>
          <w:tab w:val="left" w:pos="5040"/>
        </w:tabs>
      </w:pPr>
      <w:r w:rsidRPr="00BD3BD5">
        <w:tab/>
      </w:r>
      <w:r w:rsidR="0023575D">
        <w:rPr>
          <w:b/>
        </w:rPr>
        <w:t>Approval</w:t>
      </w:r>
      <w:r w:rsidRPr="00BD3BD5">
        <w:rPr>
          <w:b/>
        </w:rPr>
        <w:t xml:space="preserve"> Date</w:t>
      </w:r>
      <w:r w:rsidRPr="00BD3BD5">
        <w:t xml:space="preserve">: </w:t>
      </w:r>
      <w:r w:rsidR="0023575D">
        <w:t>May 29, 2024</w:t>
      </w:r>
    </w:p>
    <w:p w14:paraId="0AB2FCC5" w14:textId="3B2111D6" w:rsidR="002010BF" w:rsidRDefault="0005316A" w:rsidP="0005316A">
      <w:pPr>
        <w:pStyle w:val="NoSpacing"/>
        <w:tabs>
          <w:tab w:val="left" w:pos="5040"/>
        </w:tabs>
      </w:pPr>
      <w:r w:rsidRPr="00BD3BD5">
        <w:tab/>
      </w:r>
      <w:r w:rsidR="0023575D">
        <w:rPr>
          <w:b/>
        </w:rPr>
        <w:t>Effective</w:t>
      </w:r>
      <w:r w:rsidR="002010BF" w:rsidRPr="002010BF">
        <w:rPr>
          <w:b/>
        </w:rPr>
        <w:t xml:space="preserve"> Date</w:t>
      </w:r>
      <w:r w:rsidR="002010BF">
        <w:t xml:space="preserve">: </w:t>
      </w:r>
      <w:r w:rsidR="0023575D">
        <w:t>March 24, 2021</w:t>
      </w:r>
    </w:p>
    <w:p w14:paraId="3B418C44" w14:textId="4D0481F1" w:rsidR="0005316A" w:rsidRPr="00BD3BD5" w:rsidRDefault="002010BF" w:rsidP="0005316A">
      <w:pPr>
        <w:pStyle w:val="NoSpacing"/>
        <w:tabs>
          <w:tab w:val="left" w:pos="5040"/>
        </w:tabs>
      </w:pPr>
      <w:r>
        <w:tab/>
      </w:r>
      <w:r w:rsidR="0005316A" w:rsidRPr="00BD3BD5">
        <w:rPr>
          <w:b/>
        </w:rPr>
        <w:t>Supersedes</w:t>
      </w:r>
      <w:r w:rsidR="0005316A" w:rsidRPr="00BD3BD5">
        <w:t xml:space="preserve">: </w:t>
      </w:r>
      <w:r w:rsidR="004613A2">
        <w:t>N/A</w:t>
      </w:r>
    </w:p>
    <w:p w14:paraId="5CAEE471" w14:textId="77777777" w:rsidR="0005316A" w:rsidRPr="00BD3BD5" w:rsidRDefault="0005316A" w:rsidP="0005316A">
      <w:pPr>
        <w:pStyle w:val="NoSpacing"/>
        <w:tabs>
          <w:tab w:val="left" w:pos="5040"/>
        </w:tabs>
      </w:pPr>
      <w:r w:rsidRPr="00BD3BD5">
        <w:tab/>
      </w:r>
      <w:r w:rsidRPr="00BD3BD5">
        <w:rPr>
          <w:b/>
        </w:rPr>
        <w:t>Last Editorial Change</w:t>
      </w:r>
      <w:r w:rsidRPr="00BD3BD5">
        <w:t>: N/A</w:t>
      </w:r>
    </w:p>
    <w:p w14:paraId="3C7EB7CA" w14:textId="3438CD96" w:rsidR="00C26907" w:rsidRPr="00BD3BD5" w:rsidRDefault="0005316A" w:rsidP="0005316A">
      <w:pPr>
        <w:pStyle w:val="NoSpacing"/>
        <w:tabs>
          <w:tab w:val="left" w:pos="5040"/>
        </w:tabs>
      </w:pPr>
      <w:r w:rsidRPr="00BD3BD5">
        <w:tab/>
      </w:r>
      <w:r w:rsidRPr="00BD3BD5">
        <w:rPr>
          <w:b/>
        </w:rPr>
        <w:t>Mandated Review</w:t>
      </w:r>
      <w:r w:rsidRPr="00BD3BD5">
        <w:t xml:space="preserve">: </w:t>
      </w:r>
      <w:r w:rsidR="00EF13BF">
        <w:t>May 2025</w:t>
      </w:r>
    </w:p>
    <w:p w14:paraId="27185C0A" w14:textId="77777777" w:rsidR="00DA2AF3" w:rsidRDefault="00DA2AF3" w:rsidP="00B115C5">
      <w:pPr>
        <w:pStyle w:val="NoSpacing"/>
        <w:spacing w:afterLines="35" w:after="84"/>
        <w:rPr>
          <w:color w:val="1F497D"/>
        </w:rPr>
      </w:pPr>
    </w:p>
    <w:p w14:paraId="75EC8EA2" w14:textId="76EAC1C3" w:rsidR="001313CE" w:rsidRDefault="001313CE" w:rsidP="00B115C5">
      <w:pPr>
        <w:pStyle w:val="NoSpacing"/>
        <w:spacing w:afterLines="35" w:after="84"/>
        <w:rPr>
          <w:b/>
        </w:rPr>
      </w:pPr>
      <w:r w:rsidRPr="00BD3BD5">
        <w:rPr>
          <w:b/>
        </w:rPr>
        <w:t>PURPOSE</w:t>
      </w:r>
    </w:p>
    <w:p w14:paraId="59CAB5F3" w14:textId="7B00D6F7" w:rsidR="00D3322A" w:rsidRDefault="005261CF" w:rsidP="00B115C5">
      <w:pPr>
        <w:pStyle w:val="NoSpacing"/>
        <w:numPr>
          <w:ilvl w:val="0"/>
          <w:numId w:val="1"/>
        </w:numPr>
        <w:tabs>
          <w:tab w:val="left" w:pos="720"/>
        </w:tabs>
        <w:spacing w:afterLines="35" w:after="84"/>
      </w:pPr>
      <w:r w:rsidRPr="005261CF">
        <w:rPr>
          <w:bCs/>
        </w:rPr>
        <w:t xml:space="preserve">The purpose of this policy is to </w:t>
      </w:r>
      <w:r>
        <w:rPr>
          <w:bCs/>
        </w:rPr>
        <w:t>outline how</w:t>
      </w:r>
      <w:r w:rsidRPr="005261CF">
        <w:rPr>
          <w:bCs/>
        </w:rPr>
        <w:t xml:space="preserve"> </w:t>
      </w:r>
      <w:r w:rsidR="00180AD2">
        <w:rPr>
          <w:bCs/>
        </w:rPr>
        <w:t>investments</w:t>
      </w:r>
      <w:r w:rsidRPr="005261CF">
        <w:rPr>
          <w:bCs/>
        </w:rPr>
        <w:t xml:space="preserve"> of the University Hospitals Kingston Foundation (UHKF)</w:t>
      </w:r>
      <w:r>
        <w:rPr>
          <w:bCs/>
        </w:rPr>
        <w:t xml:space="preserve"> </w:t>
      </w:r>
      <w:r w:rsidR="00D30093">
        <w:rPr>
          <w:bCs/>
        </w:rPr>
        <w:t xml:space="preserve">operating and capital funds </w:t>
      </w:r>
      <w:r>
        <w:rPr>
          <w:bCs/>
        </w:rPr>
        <w:t xml:space="preserve">are </w:t>
      </w:r>
      <w:r w:rsidR="00AC6A06" w:rsidRPr="005261CF">
        <w:rPr>
          <w:bCs/>
        </w:rPr>
        <w:t>administ</w:t>
      </w:r>
      <w:r w:rsidR="00AC6A06">
        <w:rPr>
          <w:bCs/>
        </w:rPr>
        <w:t>ered</w:t>
      </w:r>
      <w:r w:rsidR="00AC6A06" w:rsidRPr="005261CF">
        <w:rPr>
          <w:bCs/>
        </w:rPr>
        <w:t xml:space="preserve"> and</w:t>
      </w:r>
      <w:r w:rsidRPr="005261CF">
        <w:rPr>
          <w:bCs/>
        </w:rPr>
        <w:t xml:space="preserve"> manage</w:t>
      </w:r>
      <w:r>
        <w:rPr>
          <w:bCs/>
        </w:rPr>
        <w:t>d</w:t>
      </w:r>
      <w:r w:rsidR="001313CE" w:rsidRPr="00BD3BD5">
        <w:t>.</w:t>
      </w:r>
    </w:p>
    <w:p w14:paraId="603941B6" w14:textId="77777777" w:rsidR="00CB5458" w:rsidRDefault="00CB5458" w:rsidP="00B115C5">
      <w:pPr>
        <w:pStyle w:val="NoSpacing"/>
        <w:spacing w:afterLines="35" w:after="84"/>
        <w:rPr>
          <w:b/>
        </w:rPr>
      </w:pPr>
      <w:r w:rsidRPr="00CB5458">
        <w:rPr>
          <w:b/>
        </w:rPr>
        <w:t>JURISDICTION/SCOPE</w:t>
      </w:r>
    </w:p>
    <w:p w14:paraId="24D0D755" w14:textId="637F5159" w:rsidR="00CB5458" w:rsidRDefault="00CB5458" w:rsidP="00B115C5">
      <w:pPr>
        <w:pStyle w:val="NoSpacing"/>
        <w:numPr>
          <w:ilvl w:val="0"/>
          <w:numId w:val="1"/>
        </w:numPr>
        <w:tabs>
          <w:tab w:val="left" w:pos="720"/>
        </w:tabs>
        <w:spacing w:afterLines="35" w:after="84"/>
      </w:pPr>
      <w:r w:rsidRPr="00CB5458">
        <w:t xml:space="preserve">This policy applies to all </w:t>
      </w:r>
      <w:r w:rsidR="00000F54">
        <w:t xml:space="preserve">operating and capital funds </w:t>
      </w:r>
      <w:r>
        <w:t>invest</w:t>
      </w:r>
      <w:r w:rsidR="00000F54">
        <w:t xml:space="preserve">ed </w:t>
      </w:r>
      <w:r w:rsidRPr="00CB5458">
        <w:t>by the University Hospitals Kingston Foundation.</w:t>
      </w:r>
    </w:p>
    <w:p w14:paraId="4AEDDA06" w14:textId="1048CCBD" w:rsidR="00CB5458" w:rsidRDefault="00CB5458" w:rsidP="00B115C5">
      <w:pPr>
        <w:pStyle w:val="NoSpacing"/>
        <w:numPr>
          <w:ilvl w:val="0"/>
          <w:numId w:val="1"/>
        </w:numPr>
        <w:tabs>
          <w:tab w:val="left" w:pos="720"/>
        </w:tabs>
        <w:spacing w:afterLines="35" w:after="84"/>
      </w:pPr>
      <w:r w:rsidRPr="00CB5458">
        <w:t>This policy is subject to and consistent with the UHKF Investment Policy.</w:t>
      </w:r>
    </w:p>
    <w:p w14:paraId="0F28E4DA" w14:textId="7F4FCB48" w:rsidR="0005316A" w:rsidRDefault="00180AD2" w:rsidP="00B115C5">
      <w:pPr>
        <w:pStyle w:val="NoSpacing"/>
        <w:numPr>
          <w:ilvl w:val="0"/>
          <w:numId w:val="1"/>
        </w:numPr>
        <w:tabs>
          <w:tab w:val="left" w:pos="720"/>
        </w:tabs>
        <w:spacing w:afterLines="35" w:after="84"/>
      </w:pPr>
      <w:r>
        <w:t>The UHKF holds funds generated from its operations</w:t>
      </w:r>
      <w:r w:rsidRPr="00180AD2">
        <w:t xml:space="preserve">. The </w:t>
      </w:r>
      <w:r w:rsidR="007115BD">
        <w:t>funds</w:t>
      </w:r>
      <w:r w:rsidR="007115BD" w:rsidRPr="00180AD2">
        <w:t xml:space="preserve"> </w:t>
      </w:r>
      <w:r w:rsidRPr="00180AD2">
        <w:t>arise from operating</w:t>
      </w:r>
      <w:r>
        <w:t xml:space="preserve"> reserves and from gifts earmarked for projects, including but not limited to major capital projects,</w:t>
      </w:r>
      <w:r w:rsidRPr="00180AD2">
        <w:t xml:space="preserve"> </w:t>
      </w:r>
      <w:r>
        <w:t>planned by the related hospitals but for which funds are only required at some future date</w:t>
      </w:r>
      <w:r w:rsidR="00D3322A" w:rsidRPr="00D3322A">
        <w:t>.</w:t>
      </w:r>
    </w:p>
    <w:p w14:paraId="1A128E43" w14:textId="77777777" w:rsidR="00D30093" w:rsidRDefault="00180AD2" w:rsidP="00B115C5">
      <w:pPr>
        <w:pStyle w:val="NoSpacing"/>
        <w:numPr>
          <w:ilvl w:val="0"/>
          <w:numId w:val="1"/>
        </w:numPr>
        <w:tabs>
          <w:tab w:val="left" w:pos="720"/>
        </w:tabs>
        <w:spacing w:afterLines="35" w:after="84"/>
      </w:pPr>
      <w:r w:rsidRPr="00180AD2">
        <w:t xml:space="preserve">The cash flows of the </w:t>
      </w:r>
      <w:r>
        <w:t>Foundation and the timing of grant request</w:t>
      </w:r>
      <w:r w:rsidR="007115BD">
        <w:t>s</w:t>
      </w:r>
      <w:r w:rsidRPr="00180AD2">
        <w:t xml:space="preserve"> </w:t>
      </w:r>
      <w:r>
        <w:t xml:space="preserve">from the related hospitals </w:t>
      </w:r>
      <w:r w:rsidRPr="00180AD2">
        <w:t>are generally predictable a</w:t>
      </w:r>
      <w:r w:rsidR="00D30093">
        <w:t>nd permit the investment of these funds.</w:t>
      </w:r>
    </w:p>
    <w:p w14:paraId="3BDBE518" w14:textId="54E857A3" w:rsidR="00180AD2" w:rsidRDefault="00D30093" w:rsidP="00B115C5">
      <w:pPr>
        <w:pStyle w:val="NoSpacing"/>
        <w:numPr>
          <w:ilvl w:val="0"/>
          <w:numId w:val="1"/>
        </w:numPr>
        <w:tabs>
          <w:tab w:val="left" w:pos="720"/>
        </w:tabs>
        <w:spacing w:afterLines="35" w:after="84"/>
      </w:pPr>
      <w:r>
        <w:t>S</w:t>
      </w:r>
      <w:r w:rsidR="007115BD">
        <w:t xml:space="preserve">hort term </w:t>
      </w:r>
      <w:r w:rsidR="00180AD2" w:rsidRPr="00180AD2">
        <w:t xml:space="preserve">funds must be </w:t>
      </w:r>
      <w:r w:rsidR="00AF47A0">
        <w:t xml:space="preserve">maintained in the Savings Account with the UHKF </w:t>
      </w:r>
      <w:r w:rsidR="00CA05A6">
        <w:t xml:space="preserve">Operating </w:t>
      </w:r>
      <w:r w:rsidR="00AF47A0">
        <w:t>Bank</w:t>
      </w:r>
      <w:r w:rsidR="00AF47A0" w:rsidRPr="00180AD2">
        <w:t xml:space="preserve"> </w:t>
      </w:r>
      <w:r w:rsidR="00180AD2" w:rsidRPr="00180AD2">
        <w:t xml:space="preserve">so that they are sufficiently liquid to meet </w:t>
      </w:r>
      <w:r w:rsidR="00CA05A6">
        <w:t>one years’ forecasted</w:t>
      </w:r>
      <w:r w:rsidR="00CA05A6" w:rsidRPr="00180AD2">
        <w:t xml:space="preserve"> </w:t>
      </w:r>
      <w:r w:rsidR="00180AD2" w:rsidRPr="00180AD2">
        <w:t>cash needs</w:t>
      </w:r>
      <w:r w:rsidR="00CA05A6">
        <w:t>, including operating expenses and expected Grant Requests.</w:t>
      </w:r>
      <w:r w:rsidR="00180AD2" w:rsidRPr="00180AD2">
        <w:t xml:space="preserve"> </w:t>
      </w:r>
    </w:p>
    <w:p w14:paraId="1CCE1F0C" w14:textId="3C9DF986" w:rsidR="00201EA0" w:rsidRDefault="00201EA0" w:rsidP="00B115C5">
      <w:pPr>
        <w:pStyle w:val="NoSpacing"/>
        <w:numPr>
          <w:ilvl w:val="0"/>
          <w:numId w:val="1"/>
        </w:numPr>
        <w:tabs>
          <w:tab w:val="left" w:pos="720"/>
        </w:tabs>
        <w:spacing w:afterLines="35" w:after="84"/>
      </w:pPr>
      <w:r>
        <w:t xml:space="preserve">The UHKF holds funds generated from its operations that will not be </w:t>
      </w:r>
      <w:r w:rsidR="007F2A4C">
        <w:t>grant</w:t>
      </w:r>
      <w:r>
        <w:t>ed for several years, such as</w:t>
      </w:r>
      <w:r w:rsidR="007F2A4C">
        <w:t xml:space="preserve"> those held for</w:t>
      </w:r>
      <w:r>
        <w:t xml:space="preserve"> major capital projects.  The Foundation will work with its hospital partners to understand the expected timing of these </w:t>
      </w:r>
      <w:r w:rsidR="007F2A4C">
        <w:t>grant</w:t>
      </w:r>
      <w:r>
        <w:t xml:space="preserve">s.  For investment purposes, these funds will be divided into two investment portfolios.  The first includes funds required by the hospitals </w:t>
      </w:r>
      <w:r w:rsidR="007F2A4C">
        <w:t>within five years</w:t>
      </w:r>
      <w:r>
        <w:t>, and the second includes funds required by the hospitals more than five years in the future.  The separation of these investment funds allows the best combination of preservation of funds when required and sufficient returns on investments.</w:t>
      </w:r>
    </w:p>
    <w:p w14:paraId="33E3B9C6" w14:textId="43E89D24" w:rsidR="00201EA0" w:rsidRDefault="00201EA0" w:rsidP="00B115C5">
      <w:pPr>
        <w:pStyle w:val="NoSpacing"/>
        <w:numPr>
          <w:ilvl w:val="0"/>
          <w:numId w:val="1"/>
        </w:numPr>
        <w:tabs>
          <w:tab w:val="left" w:pos="720"/>
        </w:tabs>
        <w:spacing w:afterLines="35" w:after="84"/>
      </w:pPr>
      <w:r>
        <w:t xml:space="preserve">The UHKF holds funds generated from its operations that are related to endowments. </w:t>
      </w:r>
      <w:r w:rsidR="007F2A4C">
        <w:t>This policy does not apply to the investment of endowment funds.</w:t>
      </w:r>
      <w:r>
        <w:t xml:space="preserve"> </w:t>
      </w:r>
      <w:r w:rsidR="00375686">
        <w:t xml:space="preserve">The Endowment Policy identifies the expectations and allocations of returns on investment. </w:t>
      </w:r>
    </w:p>
    <w:p w14:paraId="682D575D" w14:textId="43601375" w:rsidR="00E44634" w:rsidRPr="00BD3BD5" w:rsidRDefault="00E75C2B" w:rsidP="00B115C5">
      <w:pPr>
        <w:pStyle w:val="NoSpacing"/>
        <w:tabs>
          <w:tab w:val="left" w:pos="720"/>
        </w:tabs>
        <w:spacing w:afterLines="35" w:after="84"/>
        <w:rPr>
          <w:b/>
        </w:rPr>
      </w:pPr>
      <w:r w:rsidRPr="00E75C2B">
        <w:rPr>
          <w:b/>
          <w:bCs/>
          <w:lang w:val="en-US"/>
        </w:rPr>
        <w:t>INVESTMENT OBJECTIVES BASED ON RISK AND RETURN</w:t>
      </w:r>
    </w:p>
    <w:p w14:paraId="0E1CE902" w14:textId="4DE1484B" w:rsidR="00E75C2B" w:rsidRDefault="00E75C2B" w:rsidP="00B115C5">
      <w:pPr>
        <w:pStyle w:val="NoSpacing"/>
        <w:numPr>
          <w:ilvl w:val="0"/>
          <w:numId w:val="1"/>
        </w:numPr>
        <w:tabs>
          <w:tab w:val="left" w:pos="720"/>
        </w:tabs>
        <w:spacing w:afterLines="35" w:after="84"/>
      </w:pPr>
      <w:r>
        <w:t>The investment objectives for investments</w:t>
      </w:r>
      <w:r w:rsidR="00C924CD">
        <w:t xml:space="preserve"> related to this policy</w:t>
      </w:r>
      <w:r>
        <w:t xml:space="preserve"> are:</w:t>
      </w:r>
    </w:p>
    <w:p w14:paraId="781F28AB" w14:textId="77777777" w:rsidR="00E75C2B" w:rsidRDefault="00E75C2B" w:rsidP="00B115C5">
      <w:pPr>
        <w:pStyle w:val="NoSpacing"/>
        <w:numPr>
          <w:ilvl w:val="1"/>
          <w:numId w:val="1"/>
        </w:numPr>
        <w:tabs>
          <w:tab w:val="left" w:pos="720"/>
        </w:tabs>
        <w:spacing w:afterLines="35" w:after="84"/>
      </w:pPr>
      <w:r>
        <w:t>to preserve capital;</w:t>
      </w:r>
    </w:p>
    <w:p w14:paraId="5E681058" w14:textId="384CFFE7" w:rsidR="00E75C2B" w:rsidRDefault="00E75C2B" w:rsidP="00B115C5">
      <w:pPr>
        <w:pStyle w:val="NoSpacing"/>
        <w:numPr>
          <w:ilvl w:val="1"/>
          <w:numId w:val="1"/>
        </w:numPr>
        <w:tabs>
          <w:tab w:val="left" w:pos="720"/>
        </w:tabs>
        <w:spacing w:afterLines="35" w:after="84"/>
      </w:pPr>
      <w:r>
        <w:t>to provide liquidity by the investment of a portion of the Funds in liquid short-term investments that can be converted to cash with no risk of principal loss; and</w:t>
      </w:r>
    </w:p>
    <w:p w14:paraId="2636E89B" w14:textId="00013B9D" w:rsidR="00E44634" w:rsidRPr="00BD3BD5" w:rsidRDefault="00E75C2B" w:rsidP="00D30093">
      <w:pPr>
        <w:pStyle w:val="NoSpacing"/>
        <w:numPr>
          <w:ilvl w:val="1"/>
          <w:numId w:val="1"/>
        </w:numPr>
        <w:tabs>
          <w:tab w:val="left" w:pos="720"/>
        </w:tabs>
        <w:spacing w:afterLines="35" w:after="84"/>
      </w:pPr>
      <w:r>
        <w:t xml:space="preserve">to provide yield at a low level of volatility by the investment of a portion of the funds in </w:t>
      </w:r>
      <w:r w:rsidR="00D30093">
        <w:t>equities,</w:t>
      </w:r>
      <w:r w:rsidR="007115BD">
        <w:t xml:space="preserve"> </w:t>
      </w:r>
      <w:proofErr w:type="gramStart"/>
      <w:r>
        <w:t>bonds</w:t>
      </w:r>
      <w:proofErr w:type="gramEnd"/>
      <w:r w:rsidR="00D30093">
        <w:t xml:space="preserve"> and other </w:t>
      </w:r>
      <w:r w:rsidR="00D30093" w:rsidRPr="00D30093">
        <w:t>fixed income securities</w:t>
      </w:r>
      <w:r>
        <w:t>.</w:t>
      </w:r>
    </w:p>
    <w:p w14:paraId="3E2126B9" w14:textId="1AE5F932" w:rsidR="00E75C2B" w:rsidRPr="00E9510E" w:rsidRDefault="00D30093" w:rsidP="00E9510E">
      <w:pPr>
        <w:rPr>
          <w:b/>
          <w:bCs/>
        </w:rPr>
      </w:pPr>
      <w:r>
        <w:rPr>
          <w:b/>
          <w:bCs/>
        </w:rPr>
        <w:br w:type="page"/>
      </w:r>
      <w:r w:rsidR="00E75C2B" w:rsidRPr="00E75C2B">
        <w:rPr>
          <w:b/>
          <w:bCs/>
          <w:lang w:val="en-US"/>
        </w:rPr>
        <w:lastRenderedPageBreak/>
        <w:t>INVESTMENT CONSTRAINTS</w:t>
      </w:r>
    </w:p>
    <w:p w14:paraId="72F4A1B5" w14:textId="382832E4" w:rsidR="003A733A" w:rsidRDefault="00E75C2B" w:rsidP="00B115C5">
      <w:pPr>
        <w:pStyle w:val="NoSpacing"/>
        <w:numPr>
          <w:ilvl w:val="0"/>
          <w:numId w:val="1"/>
        </w:numPr>
        <w:tabs>
          <w:tab w:val="left" w:pos="720"/>
        </w:tabs>
        <w:spacing w:afterLines="35" w:after="84"/>
      </w:pPr>
      <w:r>
        <w:t xml:space="preserve">The </w:t>
      </w:r>
      <w:r w:rsidRPr="00E75C2B">
        <w:t xml:space="preserve">investment constraints </w:t>
      </w:r>
      <w:r>
        <w:t>related to</w:t>
      </w:r>
      <w:r w:rsidR="00D30093">
        <w:t xml:space="preserve"> these</w:t>
      </w:r>
      <w:r>
        <w:t xml:space="preserve"> investments </w:t>
      </w:r>
      <w:r w:rsidRPr="00E75C2B">
        <w:t>are:</w:t>
      </w:r>
    </w:p>
    <w:p w14:paraId="73EF6B7A" w14:textId="348394D7" w:rsidR="00E75C2B" w:rsidRDefault="00E75C2B" w:rsidP="00B115C5">
      <w:pPr>
        <w:pStyle w:val="NoSpacing"/>
        <w:numPr>
          <w:ilvl w:val="1"/>
          <w:numId w:val="1"/>
        </w:numPr>
        <w:tabs>
          <w:tab w:val="left" w:pos="720"/>
        </w:tabs>
        <w:spacing w:afterLines="35" w:after="84"/>
        <w:rPr>
          <w:lang w:val="en-US"/>
        </w:rPr>
      </w:pPr>
      <w:r w:rsidRPr="00E75C2B">
        <w:rPr>
          <w:b/>
          <w:lang w:val="en-US"/>
        </w:rPr>
        <w:t>Liquidity</w:t>
      </w:r>
      <w:r w:rsidRPr="00E75C2B">
        <w:rPr>
          <w:lang w:val="en-US"/>
        </w:rPr>
        <w:t xml:space="preserve">. </w:t>
      </w:r>
      <w:r w:rsidR="00D0051A">
        <w:rPr>
          <w:lang w:val="en-US"/>
        </w:rPr>
        <w:t>A</w:t>
      </w:r>
      <w:r w:rsidRPr="00E75C2B">
        <w:rPr>
          <w:lang w:val="en-US"/>
        </w:rPr>
        <w:t xml:space="preserve"> </w:t>
      </w:r>
      <w:r w:rsidR="00D0051A">
        <w:rPr>
          <w:lang w:val="en-US"/>
        </w:rPr>
        <w:t>proportion</w:t>
      </w:r>
      <w:r w:rsidRPr="00E75C2B">
        <w:rPr>
          <w:lang w:val="en-US"/>
        </w:rPr>
        <w:t xml:space="preserve"> of the assets will be invested in cash and cash equivalents with an average duration of less than 90 days. This will minimize the liquidity risk that stems from the lack of marketability of an investment that cannot be bought or sold quickly enough to prevent or minimize a loss. </w:t>
      </w:r>
      <w:r w:rsidR="00BB5AB7">
        <w:rPr>
          <w:lang w:val="en-US"/>
        </w:rPr>
        <w:t xml:space="preserve"> The fund manager may also invest in short-term securities deemed appropriate for this portfolio including but not limited to:</w:t>
      </w:r>
    </w:p>
    <w:p w14:paraId="1B76C314" w14:textId="2CDEA1AE" w:rsidR="00BB5AB7" w:rsidRDefault="00BB5AB7" w:rsidP="00D30093">
      <w:pPr>
        <w:pStyle w:val="NoSpacing"/>
        <w:numPr>
          <w:ilvl w:val="2"/>
          <w:numId w:val="1"/>
        </w:numPr>
        <w:tabs>
          <w:tab w:val="left" w:pos="720"/>
        </w:tabs>
        <w:spacing w:afterLines="35" w:after="84"/>
        <w:rPr>
          <w:lang w:val="en-US"/>
        </w:rPr>
      </w:pPr>
      <w:r w:rsidRPr="00BB5AB7">
        <w:rPr>
          <w:lang w:val="en-US"/>
        </w:rPr>
        <w:t>Treasury Bills and other securities issued or guaranteed by the federal government, provinces or municipalities of Canada including their agencies and crown corporations.</w:t>
      </w:r>
    </w:p>
    <w:p w14:paraId="73ED5C8F" w14:textId="45EA3BAC" w:rsidR="00BB5AB7" w:rsidRDefault="00BB5AB7" w:rsidP="00D30093">
      <w:pPr>
        <w:pStyle w:val="NoSpacing"/>
        <w:numPr>
          <w:ilvl w:val="2"/>
          <w:numId w:val="1"/>
        </w:numPr>
        <w:tabs>
          <w:tab w:val="left" w:pos="720"/>
        </w:tabs>
        <w:spacing w:afterLines="35" w:after="84"/>
        <w:rPr>
          <w:lang w:val="en-US"/>
        </w:rPr>
      </w:pPr>
      <w:r w:rsidRPr="00BB5AB7">
        <w:rPr>
          <w:lang w:val="en-US"/>
        </w:rPr>
        <w:t>Banker’s Acceptances and other bank and trust company obligations or deposits.</w:t>
      </w:r>
    </w:p>
    <w:p w14:paraId="46000236" w14:textId="3A702AAA" w:rsidR="00BB5AB7" w:rsidRDefault="00BB5AB7" w:rsidP="00D30093">
      <w:pPr>
        <w:pStyle w:val="NoSpacing"/>
        <w:numPr>
          <w:ilvl w:val="2"/>
          <w:numId w:val="1"/>
        </w:numPr>
        <w:tabs>
          <w:tab w:val="left" w:pos="720"/>
        </w:tabs>
        <w:spacing w:afterLines="35" w:after="84"/>
        <w:rPr>
          <w:lang w:val="en-US"/>
        </w:rPr>
      </w:pPr>
      <w:r w:rsidRPr="00BB5AB7">
        <w:rPr>
          <w:lang w:val="en-US"/>
        </w:rPr>
        <w:t>Corporate and asset backed commercial paper.</w:t>
      </w:r>
    </w:p>
    <w:p w14:paraId="23464B89" w14:textId="1285A046" w:rsidR="00BB5AB7" w:rsidRPr="00BB5AB7" w:rsidRDefault="00BB5AB7" w:rsidP="00BB5AB7">
      <w:pPr>
        <w:pStyle w:val="NoSpacing"/>
        <w:numPr>
          <w:ilvl w:val="1"/>
          <w:numId w:val="1"/>
        </w:numPr>
        <w:tabs>
          <w:tab w:val="left" w:pos="720"/>
        </w:tabs>
        <w:spacing w:afterLines="35" w:after="84"/>
        <w:rPr>
          <w:lang w:val="en-US"/>
        </w:rPr>
      </w:pPr>
      <w:r>
        <w:rPr>
          <w:b/>
          <w:lang w:val="en-US"/>
        </w:rPr>
        <w:t>Capital Preservation</w:t>
      </w:r>
      <w:r>
        <w:rPr>
          <w:lang w:val="en-US"/>
        </w:rPr>
        <w:t xml:space="preserve">. Funds in the portfolio related to this policy are chiefly made up of restricted donations designated for a specific purpose. As such capital preservation is paramount.  Based on the timing of when these funds are to be granted to the related hospitals, the fund manager may invest </w:t>
      </w:r>
      <w:r w:rsidRPr="00BB5AB7">
        <w:rPr>
          <w:lang w:val="en-US"/>
        </w:rPr>
        <w:t xml:space="preserve">in fixed </w:t>
      </w:r>
      <w:r w:rsidR="008F4B6C">
        <w:rPr>
          <w:lang w:val="en-US"/>
        </w:rPr>
        <w:t>and equity products</w:t>
      </w:r>
      <w:r w:rsidRPr="00BB5AB7">
        <w:rPr>
          <w:lang w:val="en-US"/>
        </w:rPr>
        <w:t xml:space="preserve"> deemed appropriate for this portfolio including but not limited to:</w:t>
      </w:r>
    </w:p>
    <w:p w14:paraId="750422D2" w14:textId="77777777" w:rsidR="00BB5AB7" w:rsidRPr="00BB5AB7" w:rsidRDefault="00BB5AB7" w:rsidP="00D30093">
      <w:pPr>
        <w:pStyle w:val="NoSpacing"/>
        <w:numPr>
          <w:ilvl w:val="2"/>
          <w:numId w:val="1"/>
        </w:numPr>
        <w:tabs>
          <w:tab w:val="left" w:pos="720"/>
        </w:tabs>
        <w:spacing w:afterLines="35" w:after="84"/>
        <w:rPr>
          <w:lang w:val="en-US"/>
        </w:rPr>
      </w:pPr>
      <w:r w:rsidRPr="00BB5AB7">
        <w:rPr>
          <w:lang w:val="en-US"/>
        </w:rPr>
        <w:t>Securities issued or guaranteed by the federal government, provinces or municipalities of Canada including their agencies and crown corporations.</w:t>
      </w:r>
    </w:p>
    <w:p w14:paraId="5EF18335" w14:textId="77777777" w:rsidR="00BB5AB7" w:rsidRPr="00BB5AB7" w:rsidRDefault="00BB5AB7" w:rsidP="00D30093">
      <w:pPr>
        <w:pStyle w:val="NoSpacing"/>
        <w:numPr>
          <w:ilvl w:val="2"/>
          <w:numId w:val="1"/>
        </w:numPr>
        <w:tabs>
          <w:tab w:val="left" w:pos="720"/>
        </w:tabs>
        <w:spacing w:afterLines="35" w:after="84"/>
        <w:rPr>
          <w:lang w:val="en-US"/>
        </w:rPr>
      </w:pPr>
      <w:r w:rsidRPr="00BB5AB7">
        <w:rPr>
          <w:lang w:val="en-US"/>
        </w:rPr>
        <w:t>Corporate bonds.</w:t>
      </w:r>
    </w:p>
    <w:p w14:paraId="233E6908" w14:textId="77777777" w:rsidR="00BB5AB7" w:rsidRPr="00BB5AB7" w:rsidRDefault="00BB5AB7" w:rsidP="00D30093">
      <w:pPr>
        <w:pStyle w:val="NoSpacing"/>
        <w:numPr>
          <w:ilvl w:val="2"/>
          <w:numId w:val="1"/>
        </w:numPr>
        <w:tabs>
          <w:tab w:val="left" w:pos="720"/>
        </w:tabs>
        <w:spacing w:afterLines="35" w:after="84"/>
        <w:rPr>
          <w:lang w:val="en-US"/>
        </w:rPr>
      </w:pPr>
      <w:r w:rsidRPr="00BB5AB7">
        <w:rPr>
          <w:lang w:val="en-US"/>
        </w:rPr>
        <w:t>Mortgage and other Asset backed securities.</w:t>
      </w:r>
    </w:p>
    <w:p w14:paraId="19BF9303" w14:textId="77777777" w:rsidR="00BB5AB7" w:rsidRPr="00BB5AB7" w:rsidRDefault="00BB5AB7" w:rsidP="00D30093">
      <w:pPr>
        <w:pStyle w:val="NoSpacing"/>
        <w:numPr>
          <w:ilvl w:val="2"/>
          <w:numId w:val="1"/>
        </w:numPr>
        <w:tabs>
          <w:tab w:val="left" w:pos="720"/>
        </w:tabs>
        <w:spacing w:afterLines="35" w:after="84"/>
        <w:rPr>
          <w:lang w:val="en-US"/>
        </w:rPr>
      </w:pPr>
      <w:r w:rsidRPr="00BB5AB7">
        <w:rPr>
          <w:lang w:val="en-US"/>
        </w:rPr>
        <w:t>Foreign issued Canadian pay securities.</w:t>
      </w:r>
    </w:p>
    <w:p w14:paraId="38BDAB7C" w14:textId="1541E8D7" w:rsidR="00BB5AB7" w:rsidRPr="001144DD" w:rsidRDefault="00B90C2D" w:rsidP="00D30093">
      <w:pPr>
        <w:pStyle w:val="NoSpacing"/>
        <w:numPr>
          <w:ilvl w:val="2"/>
          <w:numId w:val="1"/>
        </w:numPr>
        <w:tabs>
          <w:tab w:val="left" w:pos="720"/>
        </w:tabs>
        <w:spacing w:afterLines="35" w:after="84"/>
        <w:rPr>
          <w:lang w:val="en-US"/>
        </w:rPr>
      </w:pPr>
      <w:r w:rsidRPr="001144DD">
        <w:rPr>
          <w:lang w:val="en-US"/>
        </w:rPr>
        <w:t xml:space="preserve">Common and </w:t>
      </w:r>
      <w:r w:rsidR="00BB5AB7" w:rsidRPr="001144DD">
        <w:rPr>
          <w:lang w:val="en-US"/>
        </w:rPr>
        <w:t>Preferred Equities</w:t>
      </w:r>
    </w:p>
    <w:p w14:paraId="25D1773E" w14:textId="7533C765" w:rsidR="00E75C2B" w:rsidRDefault="00E75C2B" w:rsidP="00BB5AB7">
      <w:pPr>
        <w:pStyle w:val="NoSpacing"/>
        <w:numPr>
          <w:ilvl w:val="1"/>
          <w:numId w:val="1"/>
        </w:numPr>
        <w:tabs>
          <w:tab w:val="left" w:pos="720"/>
        </w:tabs>
        <w:spacing w:afterLines="35" w:after="84"/>
        <w:rPr>
          <w:lang w:val="en-US"/>
        </w:rPr>
      </w:pPr>
      <w:r w:rsidRPr="00E75C2B">
        <w:rPr>
          <w:b/>
          <w:lang w:val="en-US"/>
        </w:rPr>
        <w:t>Credit Quality</w:t>
      </w:r>
      <w:r w:rsidRPr="00E75C2B">
        <w:rPr>
          <w:lang w:val="en-US"/>
        </w:rPr>
        <w:t xml:space="preserve">. The Fund assets are to be </w:t>
      </w:r>
      <w:proofErr w:type="gramStart"/>
      <w:r w:rsidRPr="00E75C2B">
        <w:rPr>
          <w:lang w:val="en-US"/>
        </w:rPr>
        <w:t>invested at all times</w:t>
      </w:r>
      <w:proofErr w:type="gramEnd"/>
      <w:r w:rsidRPr="00E75C2B">
        <w:rPr>
          <w:lang w:val="en-US"/>
        </w:rPr>
        <w:t xml:space="preserve"> in a prudently diversified portfolio. Reference credit ratings for </w:t>
      </w:r>
      <w:r w:rsidR="00BB5AB7" w:rsidRPr="00BB5AB7">
        <w:rPr>
          <w:lang w:val="en-US"/>
        </w:rPr>
        <w:t>fixed income</w:t>
      </w:r>
      <w:r w:rsidR="00BB5AB7">
        <w:rPr>
          <w:lang w:val="en-US"/>
        </w:rPr>
        <w:t xml:space="preserve"> instrument</w:t>
      </w:r>
      <w:r w:rsidR="00BB5AB7" w:rsidRPr="00E75C2B">
        <w:rPr>
          <w:lang w:val="en-US"/>
        </w:rPr>
        <w:t xml:space="preserve">s </w:t>
      </w:r>
      <w:r w:rsidRPr="00E75C2B">
        <w:rPr>
          <w:lang w:val="en-US"/>
        </w:rPr>
        <w:t>are those as published and regularly reviewed and/or revised by recognized debt rating agencies, including DBRS,</w:t>
      </w:r>
      <w:r>
        <w:rPr>
          <w:lang w:val="en-US"/>
        </w:rPr>
        <w:t xml:space="preserve"> Standard &amp; Poor’s and Moody’s.</w:t>
      </w:r>
    </w:p>
    <w:p w14:paraId="6FD84B6E" w14:textId="5E756C18" w:rsidR="00E75C2B" w:rsidRDefault="00E75C2B" w:rsidP="00B115C5">
      <w:pPr>
        <w:pStyle w:val="NoSpacing"/>
        <w:numPr>
          <w:ilvl w:val="1"/>
          <w:numId w:val="1"/>
        </w:numPr>
        <w:tabs>
          <w:tab w:val="left" w:pos="720"/>
        </w:tabs>
        <w:spacing w:afterLines="35" w:after="84"/>
        <w:rPr>
          <w:lang w:val="en-US"/>
        </w:rPr>
      </w:pPr>
      <w:r w:rsidRPr="00E75C2B">
        <w:rPr>
          <w:lang w:val="en-US"/>
        </w:rPr>
        <w:t xml:space="preserve">The portfolio manager will be responsible for diversifying the </w:t>
      </w:r>
      <w:r w:rsidR="0080218B">
        <w:rPr>
          <w:lang w:val="en-US"/>
        </w:rPr>
        <w:t>portfolio</w:t>
      </w:r>
      <w:r w:rsidR="0080218B" w:rsidRPr="00E75C2B">
        <w:rPr>
          <w:lang w:val="en-US"/>
        </w:rPr>
        <w:t xml:space="preserve"> </w:t>
      </w:r>
      <w:r w:rsidRPr="00E75C2B">
        <w:rPr>
          <w:lang w:val="en-US"/>
        </w:rPr>
        <w:t xml:space="preserve">by type and by sector and for prudently and diligently managing credit risk. If downgrades occur it is expected </w:t>
      </w:r>
      <w:r w:rsidR="00CB5458">
        <w:rPr>
          <w:lang w:val="en-US"/>
        </w:rPr>
        <w:t xml:space="preserve">that </w:t>
      </w:r>
      <w:r w:rsidRPr="00E75C2B">
        <w:rPr>
          <w:lang w:val="en-US"/>
        </w:rPr>
        <w:t>the portfolio manager will closely monitor the situa</w:t>
      </w:r>
      <w:r w:rsidR="00CB5458">
        <w:rPr>
          <w:lang w:val="en-US"/>
        </w:rPr>
        <w:t>tion and provide updates to Foundation management</w:t>
      </w:r>
      <w:r w:rsidR="009F6139">
        <w:rPr>
          <w:lang w:val="en-US"/>
        </w:rPr>
        <w:t>.</w:t>
      </w:r>
    </w:p>
    <w:p w14:paraId="57D2A6DB" w14:textId="75B566BA" w:rsidR="00E75C2B" w:rsidRDefault="00E75C2B" w:rsidP="00B115C5">
      <w:pPr>
        <w:pStyle w:val="NoSpacing"/>
        <w:numPr>
          <w:ilvl w:val="1"/>
          <w:numId w:val="1"/>
        </w:numPr>
        <w:tabs>
          <w:tab w:val="left" w:pos="720"/>
        </w:tabs>
        <w:spacing w:afterLines="35" w:after="84"/>
        <w:rPr>
          <w:lang w:val="en-US"/>
        </w:rPr>
      </w:pPr>
      <w:r w:rsidRPr="00E75C2B">
        <w:rPr>
          <w:lang w:val="en-US"/>
        </w:rPr>
        <w:t xml:space="preserve">The </w:t>
      </w:r>
      <w:r w:rsidR="009F6139">
        <w:rPr>
          <w:lang w:val="en-US"/>
        </w:rPr>
        <w:t xml:space="preserve">Investment Committee of the Board of Directors, with the support of the </w:t>
      </w:r>
      <w:r w:rsidR="00CB5458">
        <w:rPr>
          <w:lang w:val="en-US"/>
        </w:rPr>
        <w:t>Chief Finance and Administration Officer</w:t>
      </w:r>
      <w:r w:rsidR="009F6139">
        <w:rPr>
          <w:lang w:val="en-US"/>
        </w:rPr>
        <w:t>,</w:t>
      </w:r>
      <w:r w:rsidRPr="00E75C2B">
        <w:rPr>
          <w:lang w:val="en-US"/>
        </w:rPr>
        <w:t xml:space="preserve"> will develop investment manager guidelines for the </w:t>
      </w:r>
      <w:r w:rsidR="008F4B6C">
        <w:rPr>
          <w:lang w:val="en-US"/>
        </w:rPr>
        <w:t>Investment Portfolio</w:t>
      </w:r>
      <w:r w:rsidRPr="00E75C2B">
        <w:rPr>
          <w:lang w:val="en-US"/>
        </w:rPr>
        <w:t xml:space="preserve"> mandate. These will be developed in conjunction with the investment managers to ensure consistency with applicable pooled funds. These guidelines will be reported</w:t>
      </w:r>
      <w:r w:rsidR="00CB5458">
        <w:rPr>
          <w:lang w:val="en-US"/>
        </w:rPr>
        <w:t xml:space="preserve"> </w:t>
      </w:r>
      <w:r w:rsidR="009F6139">
        <w:rPr>
          <w:lang w:val="en-US"/>
        </w:rPr>
        <w:t>semi-annually</w:t>
      </w:r>
      <w:r w:rsidRPr="00E75C2B">
        <w:rPr>
          <w:lang w:val="en-US"/>
        </w:rPr>
        <w:t xml:space="preserve"> to the Board </w:t>
      </w:r>
      <w:r w:rsidR="009F6139">
        <w:rPr>
          <w:lang w:val="en-US"/>
        </w:rPr>
        <w:t>of Directors</w:t>
      </w:r>
      <w:r>
        <w:rPr>
          <w:lang w:val="en-US"/>
        </w:rPr>
        <w:t>.</w:t>
      </w:r>
    </w:p>
    <w:p w14:paraId="3763FCA4" w14:textId="28BAF007" w:rsidR="009F6139" w:rsidRDefault="009F6139" w:rsidP="00B115C5">
      <w:pPr>
        <w:pStyle w:val="NoSpacing"/>
        <w:tabs>
          <w:tab w:val="left" w:pos="720"/>
        </w:tabs>
        <w:spacing w:afterLines="35" w:after="84"/>
        <w:rPr>
          <w:b/>
          <w:bCs/>
          <w:lang w:val="en-US"/>
        </w:rPr>
      </w:pPr>
      <w:r>
        <w:rPr>
          <w:b/>
          <w:bCs/>
          <w:lang w:val="en-US"/>
        </w:rPr>
        <w:t>INVESTMENT MANAGERS</w:t>
      </w:r>
    </w:p>
    <w:p w14:paraId="51EDF67B" w14:textId="71DF890A" w:rsidR="00B97698" w:rsidRDefault="009F6139" w:rsidP="00B115C5">
      <w:pPr>
        <w:pStyle w:val="NoSpacing"/>
        <w:numPr>
          <w:ilvl w:val="0"/>
          <w:numId w:val="1"/>
        </w:numPr>
        <w:tabs>
          <w:tab w:val="left" w:pos="720"/>
        </w:tabs>
        <w:spacing w:afterLines="35" w:after="84"/>
      </w:pPr>
      <w:r w:rsidRPr="00D0051A">
        <w:rPr>
          <w:b/>
        </w:rPr>
        <w:t>Selection</w:t>
      </w:r>
      <w:r>
        <w:t xml:space="preserve">. </w:t>
      </w:r>
      <w:r w:rsidRPr="009F6139">
        <w:t xml:space="preserve">The Investment Committee of the Board of Directors, with the support of the Chief Finance and Administration Officer, will recommend for the Board to appoint one or more suitably qualified external professional investment managers. The selection of an Investment </w:t>
      </w:r>
      <w:r w:rsidRPr="009F6139">
        <w:lastRenderedPageBreak/>
        <w:t xml:space="preserve">Manager will be made in a prudent manner, applying fair and reasonable identification, </w:t>
      </w:r>
      <w:proofErr w:type="gramStart"/>
      <w:r w:rsidRPr="009F6139">
        <w:t>evaluation</w:t>
      </w:r>
      <w:proofErr w:type="gramEnd"/>
      <w:r w:rsidRPr="009F6139">
        <w:t xml:space="preserve"> and selection standards, taking into account</w:t>
      </w:r>
      <w:r w:rsidR="00B97698">
        <w:t>:</w:t>
      </w:r>
    </w:p>
    <w:p w14:paraId="44808298" w14:textId="6D6C2772" w:rsidR="009F6139" w:rsidRDefault="009F6139" w:rsidP="00B115C5">
      <w:pPr>
        <w:pStyle w:val="NoSpacing"/>
        <w:numPr>
          <w:ilvl w:val="1"/>
          <w:numId w:val="1"/>
        </w:numPr>
        <w:tabs>
          <w:tab w:val="left" w:pos="720"/>
        </w:tabs>
        <w:spacing w:afterLines="35" w:after="84"/>
      </w:pPr>
      <w:r>
        <w:t>relevant experience and expertise</w:t>
      </w:r>
    </w:p>
    <w:p w14:paraId="111ED956" w14:textId="69322EA2" w:rsidR="009F6139" w:rsidRDefault="009F6139" w:rsidP="00B115C5">
      <w:pPr>
        <w:pStyle w:val="NoSpacing"/>
        <w:numPr>
          <w:ilvl w:val="1"/>
          <w:numId w:val="1"/>
        </w:numPr>
        <w:tabs>
          <w:tab w:val="left" w:pos="720"/>
        </w:tabs>
        <w:spacing w:afterLines="35" w:after="84"/>
      </w:pPr>
      <w:r>
        <w:t>suitability of investment style</w:t>
      </w:r>
    </w:p>
    <w:p w14:paraId="67848318" w14:textId="399D0969" w:rsidR="009F6139" w:rsidRDefault="009F6139" w:rsidP="00B115C5">
      <w:pPr>
        <w:pStyle w:val="NoSpacing"/>
        <w:numPr>
          <w:ilvl w:val="1"/>
          <w:numId w:val="1"/>
        </w:numPr>
        <w:tabs>
          <w:tab w:val="left" w:pos="720"/>
        </w:tabs>
        <w:spacing w:afterLines="35" w:after="84"/>
      </w:pPr>
      <w:r>
        <w:t>structure of the investment firm</w:t>
      </w:r>
    </w:p>
    <w:p w14:paraId="61A61B2A" w14:textId="587ECCF9" w:rsidR="009F6139" w:rsidRDefault="009F6139" w:rsidP="00B115C5">
      <w:pPr>
        <w:pStyle w:val="NoSpacing"/>
        <w:numPr>
          <w:ilvl w:val="1"/>
          <w:numId w:val="1"/>
        </w:numPr>
        <w:tabs>
          <w:tab w:val="left" w:pos="720"/>
        </w:tabs>
        <w:spacing w:afterLines="35" w:after="84"/>
      </w:pPr>
      <w:r>
        <w:t>turnover of personnel</w:t>
      </w:r>
    </w:p>
    <w:p w14:paraId="3D94D575" w14:textId="12A3E6B5" w:rsidR="009F6139" w:rsidRDefault="009F6139" w:rsidP="00B115C5">
      <w:pPr>
        <w:pStyle w:val="NoSpacing"/>
        <w:numPr>
          <w:ilvl w:val="1"/>
          <w:numId w:val="1"/>
        </w:numPr>
        <w:tabs>
          <w:tab w:val="left" w:pos="720"/>
        </w:tabs>
        <w:spacing w:afterLines="35" w:after="84"/>
      </w:pPr>
      <w:r>
        <w:t>capacity and servicing capabilities</w:t>
      </w:r>
    </w:p>
    <w:p w14:paraId="11CDC30C" w14:textId="1E6B70F9" w:rsidR="009F6139" w:rsidRDefault="009F6139" w:rsidP="00B115C5">
      <w:pPr>
        <w:pStyle w:val="NoSpacing"/>
        <w:numPr>
          <w:ilvl w:val="1"/>
          <w:numId w:val="1"/>
        </w:numPr>
        <w:tabs>
          <w:tab w:val="left" w:pos="720"/>
        </w:tabs>
        <w:spacing w:afterLines="35" w:after="84"/>
      </w:pPr>
      <w:r>
        <w:t xml:space="preserve">investment performance record, including consistency of performance and </w:t>
      </w:r>
      <w:proofErr w:type="gramStart"/>
      <w:r>
        <w:t>risk</w:t>
      </w:r>
      <w:proofErr w:type="gramEnd"/>
    </w:p>
    <w:p w14:paraId="27A4E8B7" w14:textId="2CE9E8B9" w:rsidR="00B97698" w:rsidRDefault="009F6139" w:rsidP="00B115C5">
      <w:pPr>
        <w:pStyle w:val="NoSpacing"/>
        <w:numPr>
          <w:ilvl w:val="1"/>
          <w:numId w:val="1"/>
        </w:numPr>
        <w:tabs>
          <w:tab w:val="left" w:pos="720"/>
        </w:tabs>
        <w:spacing w:afterLines="35" w:after="84"/>
      </w:pPr>
      <w:r>
        <w:t>investment management fees</w:t>
      </w:r>
    </w:p>
    <w:p w14:paraId="459087C8" w14:textId="335A5749" w:rsidR="00443259" w:rsidRDefault="002D632D" w:rsidP="00B115C5">
      <w:pPr>
        <w:pStyle w:val="NoSpacing"/>
        <w:numPr>
          <w:ilvl w:val="0"/>
          <w:numId w:val="1"/>
        </w:numPr>
        <w:tabs>
          <w:tab w:val="left" w:pos="720"/>
        </w:tabs>
        <w:spacing w:afterLines="35" w:after="84"/>
        <w:contextualSpacing/>
      </w:pPr>
      <w:r w:rsidRPr="00D0051A">
        <w:rPr>
          <w:b/>
        </w:rPr>
        <w:t>Duties and responsibilities</w:t>
      </w:r>
      <w:r>
        <w:t xml:space="preserve"> of the investment managers</w:t>
      </w:r>
      <w:r w:rsidR="00443259" w:rsidRPr="00443259">
        <w:t>:</w:t>
      </w:r>
    </w:p>
    <w:p w14:paraId="7B541F48" w14:textId="02A8D4E2" w:rsidR="002D632D" w:rsidRPr="002D632D" w:rsidRDefault="002D632D" w:rsidP="00B115C5">
      <w:pPr>
        <w:pStyle w:val="NoSpacing"/>
        <w:numPr>
          <w:ilvl w:val="1"/>
          <w:numId w:val="1"/>
        </w:numPr>
        <w:tabs>
          <w:tab w:val="left" w:pos="720"/>
        </w:tabs>
        <w:spacing w:afterLines="35" w:after="84"/>
        <w:contextualSpacing/>
        <w:rPr>
          <w:lang w:val="en-US"/>
        </w:rPr>
      </w:pPr>
      <w:r>
        <w:rPr>
          <w:lang w:val="en-US"/>
        </w:rPr>
        <w:t xml:space="preserve">To </w:t>
      </w:r>
      <w:r w:rsidRPr="002D632D">
        <w:rPr>
          <w:lang w:val="en-US"/>
        </w:rPr>
        <w:t xml:space="preserve">exercise care, </w:t>
      </w:r>
      <w:proofErr w:type="gramStart"/>
      <w:r w:rsidRPr="002D632D">
        <w:rPr>
          <w:lang w:val="en-US"/>
        </w:rPr>
        <w:t>diligence</w:t>
      </w:r>
      <w:proofErr w:type="gramEnd"/>
      <w:r w:rsidRPr="002D632D">
        <w:rPr>
          <w:lang w:val="en-US"/>
        </w:rPr>
        <w:t xml:space="preserve"> and skill of a prudent investment counsellor and </w:t>
      </w:r>
      <w:r>
        <w:rPr>
          <w:lang w:val="en-US"/>
        </w:rPr>
        <w:t>to,</w:t>
      </w:r>
      <w:r w:rsidRPr="002D632D">
        <w:rPr>
          <w:lang w:val="en-US"/>
        </w:rPr>
        <w:t xml:space="preserve"> at all times</w:t>
      </w:r>
      <w:r>
        <w:rPr>
          <w:lang w:val="en-US"/>
        </w:rPr>
        <w:t>,</w:t>
      </w:r>
      <w:r w:rsidRPr="002D632D">
        <w:rPr>
          <w:lang w:val="en-US"/>
        </w:rPr>
        <w:t xml:space="preserve"> act on a basis that is fair and </w:t>
      </w:r>
      <w:r w:rsidR="00DD7A00" w:rsidRPr="002D632D">
        <w:rPr>
          <w:lang w:val="en-US"/>
        </w:rPr>
        <w:t>reasonable.</w:t>
      </w:r>
      <w:r w:rsidRPr="002D632D">
        <w:rPr>
          <w:lang w:val="en-US"/>
        </w:rPr>
        <w:t xml:space="preserve"> </w:t>
      </w:r>
    </w:p>
    <w:p w14:paraId="65411633" w14:textId="01BFF9EE" w:rsidR="002D632D" w:rsidRPr="002D632D" w:rsidRDefault="002D632D" w:rsidP="00B115C5">
      <w:pPr>
        <w:pStyle w:val="NoSpacing"/>
        <w:numPr>
          <w:ilvl w:val="1"/>
          <w:numId w:val="1"/>
        </w:numPr>
        <w:tabs>
          <w:tab w:val="left" w:pos="720"/>
        </w:tabs>
        <w:spacing w:afterLines="35" w:after="84"/>
        <w:contextualSpacing/>
        <w:rPr>
          <w:lang w:val="en-US"/>
        </w:rPr>
      </w:pPr>
      <w:r>
        <w:rPr>
          <w:lang w:val="en-US"/>
        </w:rPr>
        <w:t>To</w:t>
      </w:r>
      <w:r w:rsidRPr="002D632D">
        <w:rPr>
          <w:lang w:val="en-US"/>
        </w:rPr>
        <w:t xml:space="preserve"> </w:t>
      </w:r>
      <w:proofErr w:type="gramStart"/>
      <w:r w:rsidRPr="002D632D">
        <w:rPr>
          <w:lang w:val="en-US"/>
        </w:rPr>
        <w:t>adhere at all times</w:t>
      </w:r>
      <w:proofErr w:type="gramEnd"/>
      <w:r w:rsidRPr="002D632D">
        <w:rPr>
          <w:lang w:val="en-US"/>
        </w:rPr>
        <w:t xml:space="preserve"> to the Code of Ethics and Standards of Professional Conduct adopted by the </w:t>
      </w:r>
      <w:r w:rsidR="00204978" w:rsidRPr="00204978">
        <w:rPr>
          <w:lang w:val="en-US"/>
        </w:rPr>
        <w:t>CFA Institute</w:t>
      </w:r>
      <w:r w:rsidR="00204978">
        <w:rPr>
          <w:lang w:val="en-US"/>
        </w:rPr>
        <w:t>.</w:t>
      </w:r>
    </w:p>
    <w:p w14:paraId="0CFD84E9" w14:textId="0CA42168" w:rsidR="002D632D" w:rsidRPr="002D632D" w:rsidRDefault="00204978" w:rsidP="00B115C5">
      <w:pPr>
        <w:pStyle w:val="NoSpacing"/>
        <w:numPr>
          <w:ilvl w:val="1"/>
          <w:numId w:val="1"/>
        </w:numPr>
        <w:tabs>
          <w:tab w:val="left" w:pos="720"/>
        </w:tabs>
        <w:spacing w:afterLines="35" w:after="84"/>
        <w:contextualSpacing/>
        <w:rPr>
          <w:lang w:val="en-US"/>
        </w:rPr>
      </w:pPr>
      <w:r>
        <w:rPr>
          <w:lang w:val="en-US"/>
        </w:rPr>
        <w:t>To</w:t>
      </w:r>
      <w:r w:rsidR="002D632D" w:rsidRPr="002D632D">
        <w:rPr>
          <w:lang w:val="en-US"/>
        </w:rPr>
        <w:t xml:space="preserve"> provide monthly reports of transactions and rates of return </w:t>
      </w:r>
    </w:p>
    <w:p w14:paraId="74E0A513" w14:textId="7CBFF3CF" w:rsidR="002D632D" w:rsidRPr="002D632D" w:rsidRDefault="00204978" w:rsidP="00B115C5">
      <w:pPr>
        <w:pStyle w:val="NoSpacing"/>
        <w:numPr>
          <w:ilvl w:val="1"/>
          <w:numId w:val="1"/>
        </w:numPr>
        <w:tabs>
          <w:tab w:val="left" w:pos="720"/>
        </w:tabs>
        <w:spacing w:afterLines="35" w:after="84"/>
        <w:contextualSpacing/>
        <w:rPr>
          <w:lang w:val="en-US"/>
        </w:rPr>
      </w:pPr>
      <w:r>
        <w:rPr>
          <w:lang w:val="en-US"/>
        </w:rPr>
        <w:t>To</w:t>
      </w:r>
      <w:r w:rsidR="002D632D" w:rsidRPr="002D632D">
        <w:rPr>
          <w:lang w:val="en-US"/>
        </w:rPr>
        <w:t xml:space="preserve"> provide quarterly reports of portfolio holdings, results achieved and explanations of a</w:t>
      </w:r>
      <w:r>
        <w:rPr>
          <w:lang w:val="en-US"/>
        </w:rPr>
        <w:t xml:space="preserve">ny shortfall </w:t>
      </w:r>
      <w:r w:rsidRPr="00AF0D7A">
        <w:rPr>
          <w:lang w:val="en-US"/>
        </w:rPr>
        <w:t>from the benchmark.</w:t>
      </w:r>
    </w:p>
    <w:p w14:paraId="6929C036" w14:textId="5F10D918" w:rsidR="002D632D" w:rsidRPr="00693D7C" w:rsidRDefault="00204978" w:rsidP="00B115C5">
      <w:pPr>
        <w:pStyle w:val="NoSpacing"/>
        <w:numPr>
          <w:ilvl w:val="1"/>
          <w:numId w:val="1"/>
        </w:numPr>
        <w:tabs>
          <w:tab w:val="left" w:pos="720"/>
        </w:tabs>
        <w:spacing w:afterLines="35" w:after="84"/>
        <w:rPr>
          <w:lang w:val="en-US"/>
        </w:rPr>
      </w:pPr>
      <w:r>
        <w:rPr>
          <w:lang w:val="en-US"/>
        </w:rPr>
        <w:t>To</w:t>
      </w:r>
      <w:r w:rsidR="002D632D" w:rsidRPr="002D632D">
        <w:rPr>
          <w:lang w:val="en-US"/>
        </w:rPr>
        <w:t xml:space="preserve"> inform the </w:t>
      </w:r>
      <w:r w:rsidR="00B115C5">
        <w:rPr>
          <w:lang w:val="en-US"/>
        </w:rPr>
        <w:t xml:space="preserve">UHKF </w:t>
      </w:r>
      <w:r w:rsidR="00B115C5" w:rsidRPr="00B115C5">
        <w:rPr>
          <w:lang w:val="en-US"/>
        </w:rPr>
        <w:t xml:space="preserve">Chief Finance and Administration Officer </w:t>
      </w:r>
      <w:r w:rsidR="002D632D" w:rsidRPr="002D632D">
        <w:rPr>
          <w:lang w:val="en-US"/>
        </w:rPr>
        <w:t xml:space="preserve">promptly of any changes in the Investment Manager's firm, including changes of ownership, senior investment </w:t>
      </w:r>
      <w:r w:rsidR="002D632D" w:rsidRPr="00693D7C">
        <w:rPr>
          <w:lang w:val="en-US"/>
        </w:rPr>
        <w:t xml:space="preserve">personnel or investment style </w:t>
      </w:r>
    </w:p>
    <w:p w14:paraId="33A1AB85" w14:textId="238860B5" w:rsidR="00693D7C" w:rsidRPr="00693D7C" w:rsidRDefault="00693D7C" w:rsidP="00693D7C">
      <w:pPr>
        <w:pStyle w:val="ListParagraph"/>
        <w:numPr>
          <w:ilvl w:val="1"/>
          <w:numId w:val="1"/>
        </w:numPr>
        <w:spacing w:after="0" w:line="240" w:lineRule="auto"/>
        <w:contextualSpacing w:val="0"/>
      </w:pPr>
      <w:r w:rsidRPr="00693D7C">
        <w:t>To follow the investment objectives and guidelines for the operating and capital funds.</w:t>
      </w:r>
    </w:p>
    <w:p w14:paraId="24655E1D" w14:textId="77777777" w:rsidR="00693D7C" w:rsidRPr="002D632D" w:rsidRDefault="00693D7C" w:rsidP="00693D7C">
      <w:pPr>
        <w:pStyle w:val="NoSpacing"/>
        <w:tabs>
          <w:tab w:val="left" w:pos="720"/>
        </w:tabs>
        <w:spacing w:afterLines="35" w:after="84"/>
        <w:ind w:left="1440"/>
        <w:rPr>
          <w:lang w:val="en-US"/>
        </w:rPr>
      </w:pPr>
    </w:p>
    <w:p w14:paraId="16F09EAF" w14:textId="562A7780" w:rsidR="00B115C5" w:rsidRPr="00B115C5" w:rsidRDefault="00B115C5" w:rsidP="00B115C5">
      <w:pPr>
        <w:pStyle w:val="NoSpacing"/>
        <w:tabs>
          <w:tab w:val="left" w:pos="720"/>
        </w:tabs>
        <w:spacing w:afterLines="35" w:after="84"/>
      </w:pPr>
      <w:r w:rsidRPr="00B115C5">
        <w:rPr>
          <w:b/>
          <w:bCs/>
          <w:lang w:val="en-US"/>
        </w:rPr>
        <w:t>AUTHORIZED INVESTMENTS AND LIMITS</w:t>
      </w:r>
    </w:p>
    <w:p w14:paraId="28044EDB" w14:textId="20651DD8" w:rsidR="00B115C5" w:rsidRDefault="00B115C5" w:rsidP="007C3ADD">
      <w:pPr>
        <w:pStyle w:val="NoSpacing"/>
        <w:numPr>
          <w:ilvl w:val="0"/>
          <w:numId w:val="1"/>
        </w:numPr>
        <w:tabs>
          <w:tab w:val="left" w:pos="720"/>
        </w:tabs>
        <w:spacing w:afterLines="35" w:after="84"/>
        <w:rPr>
          <w:lang w:val="en-US"/>
        </w:rPr>
      </w:pPr>
      <w:r w:rsidRPr="00B115C5">
        <w:rPr>
          <w:lang w:val="en-US"/>
        </w:rPr>
        <w:t xml:space="preserve">The distribution of weights among asset classes will be determined based on the </w:t>
      </w:r>
      <w:r>
        <w:rPr>
          <w:lang w:val="en-US"/>
        </w:rPr>
        <w:t>Foundation</w:t>
      </w:r>
      <w:r w:rsidRPr="00B115C5">
        <w:rPr>
          <w:lang w:val="en-US"/>
        </w:rPr>
        <w:t xml:space="preserve">’s </w:t>
      </w:r>
      <w:r>
        <w:rPr>
          <w:lang w:val="en-US"/>
        </w:rPr>
        <w:t xml:space="preserve">cash balances and </w:t>
      </w:r>
      <w:r w:rsidRPr="00B115C5">
        <w:rPr>
          <w:lang w:val="en-US"/>
        </w:rPr>
        <w:t xml:space="preserve">near-term liquidity requirements and </w:t>
      </w:r>
      <w:r>
        <w:rPr>
          <w:lang w:val="en-US"/>
        </w:rPr>
        <w:t>the related hospitals’</w:t>
      </w:r>
      <w:r w:rsidR="007C3ADD">
        <w:rPr>
          <w:lang w:val="en-US"/>
        </w:rPr>
        <w:t xml:space="preserve"> </w:t>
      </w:r>
      <w:r w:rsidRPr="00B115C5">
        <w:rPr>
          <w:lang w:val="en-US"/>
        </w:rPr>
        <w:t>capital plans over the longer horizon. Th</w:t>
      </w:r>
      <w:r w:rsidR="007C3ADD">
        <w:rPr>
          <w:lang w:val="en-US"/>
        </w:rPr>
        <w:t xml:space="preserve">e </w:t>
      </w:r>
      <w:r w:rsidRPr="00B115C5">
        <w:rPr>
          <w:lang w:val="en-US"/>
        </w:rPr>
        <w:t>investments</w:t>
      </w:r>
      <w:r w:rsidR="007C3ADD">
        <w:rPr>
          <w:lang w:val="en-US"/>
        </w:rPr>
        <w:t xml:space="preserve"> are </w:t>
      </w:r>
      <w:r w:rsidRPr="00B115C5">
        <w:rPr>
          <w:lang w:val="en-US"/>
        </w:rPr>
        <w:t xml:space="preserve">to be managed within </w:t>
      </w:r>
      <w:r w:rsidR="00037961">
        <w:rPr>
          <w:lang w:val="en-US"/>
        </w:rPr>
        <w:t>f</w:t>
      </w:r>
      <w:r w:rsidRPr="00B115C5">
        <w:rPr>
          <w:lang w:val="en-US"/>
        </w:rPr>
        <w:t>und benchmark and asset mix guidelines</w:t>
      </w:r>
      <w:r w:rsidR="00037961">
        <w:rPr>
          <w:lang w:val="en-US"/>
        </w:rPr>
        <w:t xml:space="preserve"> developed in the investment plans based on when funds will be needed. </w:t>
      </w:r>
      <w:r w:rsidRPr="00B115C5">
        <w:rPr>
          <w:lang w:val="en-US"/>
        </w:rPr>
        <w:t xml:space="preserve">Should a large cash inflow or outflow occur resulting in a breach of the </w:t>
      </w:r>
      <w:r w:rsidR="00037961">
        <w:rPr>
          <w:lang w:val="en-US"/>
        </w:rPr>
        <w:t>asset mix defined by the investment plans</w:t>
      </w:r>
      <w:r w:rsidRPr="00B115C5">
        <w:rPr>
          <w:lang w:val="en-US"/>
        </w:rPr>
        <w:t xml:space="preserve">, </w:t>
      </w:r>
      <w:r w:rsidR="007C3ADD" w:rsidRPr="007C3ADD">
        <w:rPr>
          <w:lang w:val="en-US"/>
        </w:rPr>
        <w:t xml:space="preserve">UHKF Chief Finance and Administration Officer </w:t>
      </w:r>
      <w:r w:rsidR="007C3ADD">
        <w:rPr>
          <w:lang w:val="en-US"/>
        </w:rPr>
        <w:t xml:space="preserve">will </w:t>
      </w:r>
      <w:r w:rsidRPr="00B115C5">
        <w:rPr>
          <w:lang w:val="en-US"/>
        </w:rPr>
        <w:t xml:space="preserve">take the steps necessary to rebalance within the policy </w:t>
      </w:r>
      <w:r w:rsidR="007C3ADD">
        <w:rPr>
          <w:lang w:val="en-US"/>
        </w:rPr>
        <w:t>parameters in a prudent manner.</w:t>
      </w:r>
      <w:r w:rsidR="00A67B57">
        <w:rPr>
          <w:lang w:val="en-US"/>
        </w:rPr>
        <w:t xml:space="preserve">  Specific Investment Plans will be developed in consultation with the investment managers, </w:t>
      </w:r>
      <w:proofErr w:type="gramStart"/>
      <w:r w:rsidR="00A67B57">
        <w:rPr>
          <w:lang w:val="en-US"/>
        </w:rPr>
        <w:t>taking into account</w:t>
      </w:r>
      <w:proofErr w:type="gramEnd"/>
      <w:r w:rsidR="00A67B57">
        <w:rPr>
          <w:lang w:val="en-US"/>
        </w:rPr>
        <w:t xml:space="preserve"> the investment objectives of the Foundation.  The Specific Investment Plans will be approved by the Investment Committee and the Board of Directors.</w:t>
      </w:r>
    </w:p>
    <w:p w14:paraId="661A2853" w14:textId="4C7AD402" w:rsidR="00DE63D2" w:rsidRPr="001144DD" w:rsidRDefault="00DE63D2" w:rsidP="007C3ADD">
      <w:pPr>
        <w:pStyle w:val="NoSpacing"/>
        <w:numPr>
          <w:ilvl w:val="0"/>
          <w:numId w:val="1"/>
        </w:numPr>
        <w:tabs>
          <w:tab w:val="left" w:pos="720"/>
        </w:tabs>
        <w:spacing w:afterLines="35" w:after="84"/>
        <w:rPr>
          <w:lang w:val="en-US"/>
        </w:rPr>
      </w:pPr>
      <w:r w:rsidRPr="001144DD">
        <w:rPr>
          <w:lang w:val="en-US"/>
        </w:rPr>
        <w:t>Fund managers’ investment mandates as it relates to risk tolerance will be assigned based on when the funds will need to be available for granting:</w:t>
      </w:r>
    </w:p>
    <w:p w14:paraId="22164C53" w14:textId="2EB160A3" w:rsidR="00DE63D2" w:rsidRPr="001144DD" w:rsidRDefault="00DE63D2" w:rsidP="00DE63D2">
      <w:pPr>
        <w:pStyle w:val="NoSpacing"/>
        <w:numPr>
          <w:ilvl w:val="1"/>
          <w:numId w:val="1"/>
        </w:numPr>
        <w:tabs>
          <w:tab w:val="left" w:pos="720"/>
        </w:tabs>
        <w:spacing w:afterLines="35" w:after="84"/>
        <w:rPr>
          <w:lang w:val="en-US"/>
        </w:rPr>
      </w:pPr>
      <w:r w:rsidRPr="001144DD">
        <w:rPr>
          <w:lang w:val="en-US"/>
        </w:rPr>
        <w:t>Funds that will be drawn upon in less than one year will be maintained in cash or cash equivalents in the Foundation’s bank account.</w:t>
      </w:r>
    </w:p>
    <w:p w14:paraId="2DF206A6" w14:textId="148DDEED" w:rsidR="00DE63D2" w:rsidRPr="001144DD" w:rsidRDefault="00DE63D2" w:rsidP="00DE63D2">
      <w:pPr>
        <w:pStyle w:val="NoSpacing"/>
        <w:numPr>
          <w:ilvl w:val="1"/>
          <w:numId w:val="1"/>
        </w:numPr>
        <w:tabs>
          <w:tab w:val="left" w:pos="720"/>
        </w:tabs>
        <w:spacing w:afterLines="35" w:after="84"/>
        <w:rPr>
          <w:lang w:val="en-US"/>
        </w:rPr>
      </w:pPr>
      <w:r w:rsidRPr="001144DD">
        <w:rPr>
          <w:lang w:val="en-US"/>
        </w:rPr>
        <w:t>Funds that will be drawn upon in more than one year, but less than five years will be invested using a “Conservative (Income) Portfolio” with an approach consisting of low-risk tolerance and income</w:t>
      </w:r>
      <w:r w:rsidR="00550046" w:rsidRPr="001144DD">
        <w:rPr>
          <w:lang w:val="en-US"/>
        </w:rPr>
        <w:t xml:space="preserve"> generation</w:t>
      </w:r>
      <w:r w:rsidRPr="001144DD">
        <w:rPr>
          <w:lang w:val="en-US"/>
        </w:rPr>
        <w:t>, while protect</w:t>
      </w:r>
      <w:r w:rsidR="00550046" w:rsidRPr="001144DD">
        <w:rPr>
          <w:lang w:val="en-US"/>
        </w:rPr>
        <w:t>ing</w:t>
      </w:r>
      <w:r w:rsidRPr="001144DD">
        <w:rPr>
          <w:lang w:val="en-US"/>
        </w:rPr>
        <w:t xml:space="preserve"> capital from loss of value due to inflation.</w:t>
      </w:r>
    </w:p>
    <w:p w14:paraId="2E81DA45" w14:textId="5627636A" w:rsidR="00DE63D2" w:rsidRPr="001144DD" w:rsidRDefault="00DE63D2" w:rsidP="00550046">
      <w:pPr>
        <w:pStyle w:val="NoSpacing"/>
        <w:numPr>
          <w:ilvl w:val="1"/>
          <w:numId w:val="1"/>
        </w:numPr>
        <w:tabs>
          <w:tab w:val="left" w:pos="720"/>
        </w:tabs>
        <w:spacing w:afterLines="35" w:after="84"/>
        <w:rPr>
          <w:lang w:val="en-US"/>
        </w:rPr>
      </w:pPr>
      <w:r w:rsidRPr="001144DD">
        <w:rPr>
          <w:lang w:val="en-US"/>
        </w:rPr>
        <w:t xml:space="preserve">Funds that will be drawn upon in five years or more will be invested </w:t>
      </w:r>
      <w:r w:rsidR="00550046" w:rsidRPr="001144DD">
        <w:rPr>
          <w:lang w:val="en-US"/>
        </w:rPr>
        <w:t>in</w:t>
      </w:r>
      <w:r w:rsidRPr="001144DD">
        <w:rPr>
          <w:lang w:val="en-US"/>
        </w:rPr>
        <w:t xml:space="preserve"> a </w:t>
      </w:r>
      <w:r w:rsidR="00550046" w:rsidRPr="001144DD">
        <w:rPr>
          <w:lang w:val="en-US"/>
        </w:rPr>
        <w:t>“</w:t>
      </w:r>
      <w:r w:rsidRPr="001144DD">
        <w:rPr>
          <w:lang w:val="en-US"/>
        </w:rPr>
        <w:t xml:space="preserve">Balanced </w:t>
      </w:r>
      <w:r w:rsidR="00550046" w:rsidRPr="001144DD">
        <w:rPr>
          <w:lang w:val="en-US"/>
        </w:rPr>
        <w:t>Portfolio” that provides low to medium investment risks.</w:t>
      </w:r>
      <w:r w:rsidRPr="001144DD">
        <w:rPr>
          <w:lang w:val="en-US"/>
        </w:rPr>
        <w:t xml:space="preserve"> </w:t>
      </w:r>
    </w:p>
    <w:p w14:paraId="0395C2D1" w14:textId="77777777" w:rsidR="00E9510E" w:rsidRDefault="00E9510E" w:rsidP="007C3ADD">
      <w:pPr>
        <w:pStyle w:val="NoSpacing"/>
        <w:tabs>
          <w:tab w:val="left" w:pos="720"/>
        </w:tabs>
        <w:spacing w:afterLines="35" w:after="84"/>
        <w:rPr>
          <w:b/>
          <w:bCs/>
          <w:lang w:val="en-US"/>
        </w:rPr>
      </w:pPr>
    </w:p>
    <w:p w14:paraId="235F82A0" w14:textId="77777777" w:rsidR="00E9510E" w:rsidRDefault="00E9510E" w:rsidP="007C3ADD">
      <w:pPr>
        <w:pStyle w:val="NoSpacing"/>
        <w:tabs>
          <w:tab w:val="left" w:pos="720"/>
        </w:tabs>
        <w:spacing w:afterLines="35" w:after="84"/>
        <w:rPr>
          <w:b/>
          <w:bCs/>
          <w:lang w:val="en-US"/>
        </w:rPr>
      </w:pPr>
    </w:p>
    <w:p w14:paraId="1A5C6357" w14:textId="062182C9" w:rsidR="00085A35" w:rsidRPr="00B115C5" w:rsidRDefault="00085A35" w:rsidP="007C3ADD">
      <w:pPr>
        <w:pStyle w:val="NoSpacing"/>
        <w:tabs>
          <w:tab w:val="left" w:pos="720"/>
        </w:tabs>
        <w:spacing w:afterLines="35" w:after="84"/>
        <w:rPr>
          <w:lang w:val="en-US"/>
        </w:rPr>
      </w:pPr>
      <w:r w:rsidRPr="00085A35">
        <w:rPr>
          <w:b/>
          <w:bCs/>
          <w:lang w:val="en-US"/>
        </w:rPr>
        <w:t>REPORTING</w:t>
      </w:r>
    </w:p>
    <w:p w14:paraId="1865101B" w14:textId="6072B1B2" w:rsidR="00085A35" w:rsidRPr="00085A35" w:rsidRDefault="00085A35" w:rsidP="00085A35">
      <w:pPr>
        <w:pStyle w:val="NoSpacing"/>
        <w:numPr>
          <w:ilvl w:val="0"/>
          <w:numId w:val="1"/>
        </w:numPr>
        <w:tabs>
          <w:tab w:val="left" w:pos="720"/>
        </w:tabs>
        <w:spacing w:afterLines="35" w:after="84"/>
        <w:rPr>
          <w:lang w:val="en-US"/>
        </w:rPr>
      </w:pPr>
      <w:r w:rsidRPr="00085A35">
        <w:rPr>
          <w:lang w:val="en-US"/>
        </w:rPr>
        <w:t xml:space="preserve">A report of investments will be submitted </w:t>
      </w:r>
      <w:r>
        <w:rPr>
          <w:lang w:val="en-US"/>
        </w:rPr>
        <w:t>quarterly</w:t>
      </w:r>
      <w:r w:rsidRPr="00085A35">
        <w:rPr>
          <w:lang w:val="en-US"/>
        </w:rPr>
        <w:t xml:space="preserve"> to the Board of </w:t>
      </w:r>
      <w:r>
        <w:rPr>
          <w:lang w:val="en-US"/>
        </w:rPr>
        <w:t>Directors</w:t>
      </w:r>
      <w:r w:rsidRPr="00085A35">
        <w:rPr>
          <w:lang w:val="en-US"/>
        </w:rPr>
        <w:t xml:space="preserve">, </w:t>
      </w:r>
      <w:r>
        <w:rPr>
          <w:lang w:val="en-US"/>
        </w:rPr>
        <w:t xml:space="preserve">through the Investment Committee, </w:t>
      </w:r>
      <w:r w:rsidRPr="00085A35">
        <w:rPr>
          <w:lang w:val="en-US"/>
        </w:rPr>
        <w:t xml:space="preserve">including investment performance of each fund compared to benchmarks and adherence to each fund's stated guidelines of duration, investment constraints and credit risk </w:t>
      </w:r>
      <w:r w:rsidR="00DD7A00" w:rsidRPr="00085A35">
        <w:rPr>
          <w:lang w:val="en-US"/>
        </w:rPr>
        <w:t>exposure.</w:t>
      </w:r>
      <w:r w:rsidRPr="00085A35">
        <w:rPr>
          <w:lang w:val="en-US"/>
        </w:rPr>
        <w:t xml:space="preserve"> </w:t>
      </w:r>
    </w:p>
    <w:p w14:paraId="2CF5930F" w14:textId="0E823209" w:rsidR="006E2A55" w:rsidRPr="006C2FA5" w:rsidRDefault="006C2FA5" w:rsidP="00B115C5">
      <w:pPr>
        <w:pStyle w:val="ListParagraph"/>
        <w:spacing w:afterLines="35" w:after="84"/>
        <w:ind w:left="0"/>
        <w:rPr>
          <w:b/>
          <w:caps/>
        </w:rPr>
      </w:pPr>
      <w:r w:rsidRPr="006C2FA5">
        <w:rPr>
          <w:b/>
          <w:caps/>
        </w:rPr>
        <w:t>Review</w:t>
      </w:r>
    </w:p>
    <w:p w14:paraId="64176D68" w14:textId="188E53DC" w:rsidR="003C1DBD" w:rsidRDefault="006C2FA5" w:rsidP="00B115C5">
      <w:pPr>
        <w:pStyle w:val="NoSpacing"/>
        <w:numPr>
          <w:ilvl w:val="0"/>
          <w:numId w:val="1"/>
        </w:numPr>
        <w:tabs>
          <w:tab w:val="left" w:pos="720"/>
        </w:tabs>
        <w:spacing w:afterLines="35" w:after="84"/>
      </w:pPr>
      <w:r w:rsidRPr="006C2FA5">
        <w:t xml:space="preserve">This policy will be reviewed on an annual basis by the </w:t>
      </w:r>
      <w:r>
        <w:t>UHKF</w:t>
      </w:r>
      <w:r w:rsidRPr="006C2FA5">
        <w:t xml:space="preserve"> Board</w:t>
      </w:r>
      <w:r>
        <w:t xml:space="preserve"> of Directors</w:t>
      </w:r>
      <w:r w:rsidR="00B6658B" w:rsidRPr="00BD3BD5">
        <w:t>.</w:t>
      </w:r>
    </w:p>
    <w:p w14:paraId="67D959B2" w14:textId="77777777" w:rsidR="00CF109E" w:rsidRDefault="00CF109E" w:rsidP="00CF109E">
      <w:pPr>
        <w:pStyle w:val="NoSpacing"/>
        <w:tabs>
          <w:tab w:val="left" w:pos="720"/>
        </w:tabs>
        <w:spacing w:afterLines="35" w:after="84"/>
      </w:pPr>
    </w:p>
    <w:p w14:paraId="1852EF10" w14:textId="52FA179F" w:rsidR="00CF109E" w:rsidRDefault="00CF109E" w:rsidP="00CF109E">
      <w:pPr>
        <w:pStyle w:val="NoSpacing"/>
        <w:tabs>
          <w:tab w:val="left" w:pos="720"/>
        </w:tabs>
        <w:spacing w:afterLines="35" w:after="84"/>
        <w:rPr>
          <w:b/>
        </w:rPr>
      </w:pPr>
      <w:r w:rsidRPr="00CF109E">
        <w:rPr>
          <w:b/>
        </w:rPr>
        <w:t>RELATED DOCUMENTS</w:t>
      </w:r>
    </w:p>
    <w:p w14:paraId="55D6A0C3" w14:textId="7373FB39" w:rsidR="00CF109E" w:rsidRPr="00CF109E" w:rsidRDefault="00CF109E" w:rsidP="00CF109E">
      <w:pPr>
        <w:pStyle w:val="NoSpacing"/>
      </w:pPr>
      <w:r w:rsidRPr="00CF109E">
        <w:t>Investment Policy</w:t>
      </w:r>
    </w:p>
    <w:p w14:paraId="25E23E12" w14:textId="2DE9C7E5" w:rsidR="00CF109E" w:rsidRPr="00CF109E" w:rsidRDefault="00CF109E" w:rsidP="00CF109E">
      <w:pPr>
        <w:pStyle w:val="NoSpacing"/>
      </w:pPr>
      <w:r w:rsidRPr="00CF109E">
        <w:t>Endowment Policy</w:t>
      </w:r>
    </w:p>
    <w:p w14:paraId="4379ACDF" w14:textId="3C1BC2FE" w:rsidR="00CF109E" w:rsidRPr="00CF109E" w:rsidRDefault="00CF109E" w:rsidP="00CF109E">
      <w:pPr>
        <w:pStyle w:val="NoSpacing"/>
      </w:pPr>
      <w:r w:rsidRPr="00CF109E">
        <w:t xml:space="preserve">Financial Decision Authority Policy </w:t>
      </w:r>
    </w:p>
    <w:p w14:paraId="40A9F3C8" w14:textId="77777777" w:rsidR="00CF109E" w:rsidRDefault="00CF109E" w:rsidP="00CF109E">
      <w:pPr>
        <w:pStyle w:val="NoSpacing"/>
        <w:tabs>
          <w:tab w:val="left" w:pos="720"/>
        </w:tabs>
        <w:spacing w:afterLines="35" w:after="84"/>
      </w:pPr>
    </w:p>
    <w:p w14:paraId="5F69120A" w14:textId="77777777" w:rsidR="00CF109E" w:rsidRDefault="00CF109E" w:rsidP="00CF109E">
      <w:pPr>
        <w:pStyle w:val="NoSpacing"/>
        <w:tabs>
          <w:tab w:val="left" w:pos="720"/>
        </w:tabs>
        <w:spacing w:afterLines="35" w:after="84"/>
      </w:pPr>
    </w:p>
    <w:p w14:paraId="5CE5FD52" w14:textId="77777777" w:rsidR="00CF109E" w:rsidRDefault="00CF109E" w:rsidP="00CF109E">
      <w:pPr>
        <w:pStyle w:val="NoSpacing"/>
        <w:tabs>
          <w:tab w:val="left" w:pos="720"/>
        </w:tabs>
        <w:spacing w:afterLines="35" w:after="84"/>
      </w:pPr>
    </w:p>
    <w:p w14:paraId="7E341E02" w14:textId="04D2827C" w:rsidR="00CF109E" w:rsidRPr="00BD3BD5" w:rsidRDefault="00CF109E" w:rsidP="00CF109E">
      <w:pPr>
        <w:pStyle w:val="NoSpacing"/>
        <w:tabs>
          <w:tab w:val="left" w:pos="720"/>
        </w:tabs>
        <w:spacing w:afterLines="35" w:after="84"/>
      </w:pPr>
    </w:p>
    <w:sectPr w:rsidR="00CF109E" w:rsidRPr="00BD3BD5" w:rsidSect="0005316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6835" w14:textId="77777777" w:rsidR="006F4764" w:rsidRDefault="006F4764" w:rsidP="0005316A">
      <w:pPr>
        <w:spacing w:after="0" w:line="240" w:lineRule="auto"/>
      </w:pPr>
      <w:r>
        <w:separator/>
      </w:r>
    </w:p>
  </w:endnote>
  <w:endnote w:type="continuationSeparator" w:id="0">
    <w:p w14:paraId="6D84D893" w14:textId="77777777" w:rsidR="006F4764" w:rsidRDefault="006F4764" w:rsidP="0005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402C" w14:textId="77777777" w:rsidR="006F4764" w:rsidRDefault="006F4764" w:rsidP="0005316A">
      <w:pPr>
        <w:spacing w:after="0" w:line="240" w:lineRule="auto"/>
      </w:pPr>
      <w:r>
        <w:separator/>
      </w:r>
    </w:p>
  </w:footnote>
  <w:footnote w:type="continuationSeparator" w:id="0">
    <w:p w14:paraId="16733ED3" w14:textId="77777777" w:rsidR="006F4764" w:rsidRDefault="006F4764" w:rsidP="0005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D47E" w14:textId="77777777" w:rsidR="0005316A" w:rsidRDefault="00053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47C8" w14:textId="77777777" w:rsidR="0005316A" w:rsidRDefault="0005316A">
    <w:pPr>
      <w:pStyle w:val="Header"/>
    </w:pPr>
    <w:r w:rsidRPr="0005316A">
      <w:rPr>
        <w:rFonts w:ascii="Times New Roman" w:eastAsia="Times New Roman" w:hAnsi="Times New Roman" w:cs="Times New Roman"/>
        <w:b/>
        <w:noProof/>
        <w:sz w:val="28"/>
        <w:szCs w:val="28"/>
        <w:lang w:val="en-US"/>
      </w:rPr>
      <w:drawing>
        <wp:inline distT="0" distB="0" distL="0" distR="0" wp14:anchorId="48A8DDD9" wp14:editId="1153982A">
          <wp:extent cx="14859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1531C"/>
    <w:multiLevelType w:val="hybridMultilevel"/>
    <w:tmpl w:val="7820C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A04A2"/>
    <w:multiLevelType w:val="hybridMultilevel"/>
    <w:tmpl w:val="D734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93414"/>
    <w:multiLevelType w:val="hybridMultilevel"/>
    <w:tmpl w:val="91B0B2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4635785"/>
    <w:multiLevelType w:val="hybridMultilevel"/>
    <w:tmpl w:val="2264D510"/>
    <w:lvl w:ilvl="0" w:tplc="ABD0F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10855"/>
    <w:multiLevelType w:val="hybridMultilevel"/>
    <w:tmpl w:val="B566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C6FB3"/>
    <w:multiLevelType w:val="hybridMultilevel"/>
    <w:tmpl w:val="C8CEFD1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2483292"/>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6393862"/>
    <w:multiLevelType w:val="hybridMultilevel"/>
    <w:tmpl w:val="84842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2C2617"/>
    <w:multiLevelType w:val="hybridMultilevel"/>
    <w:tmpl w:val="067C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4771C"/>
    <w:multiLevelType w:val="hybridMultilevel"/>
    <w:tmpl w:val="7CA89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B0A2F"/>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685A23F6"/>
    <w:multiLevelType w:val="hybridMultilevel"/>
    <w:tmpl w:val="9CE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DB7A31"/>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C2C185F"/>
    <w:multiLevelType w:val="hybridMultilevel"/>
    <w:tmpl w:val="27485606"/>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4" w15:restartNumberingAfterBreak="0">
    <w:nsid w:val="70F71352"/>
    <w:multiLevelType w:val="multilevel"/>
    <w:tmpl w:val="E4A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0345CF"/>
    <w:multiLevelType w:val="hybridMultilevel"/>
    <w:tmpl w:val="7BF49EC8"/>
    <w:lvl w:ilvl="0" w:tplc="156074D4">
      <w:start w:val="1"/>
      <w:numFmt w:val="decimal"/>
      <w:lvlText w:val="%1."/>
      <w:lvlJc w:val="left"/>
      <w:pPr>
        <w:ind w:left="1080" w:hanging="720"/>
      </w:pPr>
      <w:rPr>
        <w:rFonts w:hint="default"/>
      </w:rPr>
    </w:lvl>
    <w:lvl w:ilvl="1" w:tplc="F9780248">
      <w:start w:val="1"/>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35F2"/>
    <w:multiLevelType w:val="hybridMultilevel"/>
    <w:tmpl w:val="62F0FC60"/>
    <w:lvl w:ilvl="0" w:tplc="D916E2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7E927C37"/>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6C30CA"/>
    <w:multiLevelType w:val="multilevel"/>
    <w:tmpl w:val="EF423D9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37917072">
    <w:abstractNumId w:val="18"/>
  </w:num>
  <w:num w:numId="2" w16cid:durableId="529954431">
    <w:abstractNumId w:val="5"/>
  </w:num>
  <w:num w:numId="3" w16cid:durableId="834564280">
    <w:abstractNumId w:val="15"/>
  </w:num>
  <w:num w:numId="4" w16cid:durableId="1822035433">
    <w:abstractNumId w:val="17"/>
  </w:num>
  <w:num w:numId="5" w16cid:durableId="1385562989">
    <w:abstractNumId w:val="6"/>
  </w:num>
  <w:num w:numId="6" w16cid:durableId="782461223">
    <w:abstractNumId w:val="10"/>
  </w:num>
  <w:num w:numId="7" w16cid:durableId="185293424">
    <w:abstractNumId w:val="12"/>
  </w:num>
  <w:num w:numId="8" w16cid:durableId="1419867953">
    <w:abstractNumId w:val="14"/>
  </w:num>
  <w:num w:numId="9" w16cid:durableId="368919856">
    <w:abstractNumId w:val="13"/>
  </w:num>
  <w:num w:numId="10" w16cid:durableId="2092308111">
    <w:abstractNumId w:val="4"/>
  </w:num>
  <w:num w:numId="11" w16cid:durableId="478377251">
    <w:abstractNumId w:val="1"/>
  </w:num>
  <w:num w:numId="12" w16cid:durableId="84499628">
    <w:abstractNumId w:val="8"/>
  </w:num>
  <w:num w:numId="13" w16cid:durableId="1745646391">
    <w:abstractNumId w:val="2"/>
  </w:num>
  <w:num w:numId="14" w16cid:durableId="469443223">
    <w:abstractNumId w:val="9"/>
  </w:num>
  <w:num w:numId="15" w16cid:durableId="1314870469">
    <w:abstractNumId w:val="3"/>
  </w:num>
  <w:num w:numId="16" w16cid:durableId="998776297">
    <w:abstractNumId w:val="0"/>
  </w:num>
  <w:num w:numId="17" w16cid:durableId="1638149357">
    <w:abstractNumId w:val="11"/>
  </w:num>
  <w:num w:numId="18" w16cid:durableId="216356185">
    <w:abstractNumId w:val="16"/>
  </w:num>
  <w:num w:numId="19" w16cid:durableId="873468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BC"/>
    <w:rsid w:val="00000F54"/>
    <w:rsid w:val="00037961"/>
    <w:rsid w:val="000433D1"/>
    <w:rsid w:val="0005316A"/>
    <w:rsid w:val="00071F82"/>
    <w:rsid w:val="00085A35"/>
    <w:rsid w:val="000B5344"/>
    <w:rsid w:val="000C33E5"/>
    <w:rsid w:val="000F5E84"/>
    <w:rsid w:val="001144DD"/>
    <w:rsid w:val="001248FD"/>
    <w:rsid w:val="001270C1"/>
    <w:rsid w:val="001313CE"/>
    <w:rsid w:val="0013186C"/>
    <w:rsid w:val="00175535"/>
    <w:rsid w:val="00180AD2"/>
    <w:rsid w:val="001D5268"/>
    <w:rsid w:val="001E10C3"/>
    <w:rsid w:val="001E18BD"/>
    <w:rsid w:val="002010BF"/>
    <w:rsid w:val="00201EA0"/>
    <w:rsid w:val="00204978"/>
    <w:rsid w:val="00206B6C"/>
    <w:rsid w:val="00211E76"/>
    <w:rsid w:val="00214319"/>
    <w:rsid w:val="0023575D"/>
    <w:rsid w:val="00240DAC"/>
    <w:rsid w:val="002971E5"/>
    <w:rsid w:val="002A6A14"/>
    <w:rsid w:val="002B0339"/>
    <w:rsid w:val="002B705F"/>
    <w:rsid w:val="002D5FE2"/>
    <w:rsid w:val="002D632D"/>
    <w:rsid w:val="002D6B4E"/>
    <w:rsid w:val="002F6A5D"/>
    <w:rsid w:val="0034056A"/>
    <w:rsid w:val="003477AF"/>
    <w:rsid w:val="00355B0F"/>
    <w:rsid w:val="00357CE9"/>
    <w:rsid w:val="00375686"/>
    <w:rsid w:val="003A0EA2"/>
    <w:rsid w:val="003A733A"/>
    <w:rsid w:val="003B6E58"/>
    <w:rsid w:val="003C1DBD"/>
    <w:rsid w:val="003F790B"/>
    <w:rsid w:val="004064F5"/>
    <w:rsid w:val="00415552"/>
    <w:rsid w:val="00443259"/>
    <w:rsid w:val="004613A2"/>
    <w:rsid w:val="004A280B"/>
    <w:rsid w:val="004A7A9C"/>
    <w:rsid w:val="004C4C77"/>
    <w:rsid w:val="005261CF"/>
    <w:rsid w:val="00550046"/>
    <w:rsid w:val="00575657"/>
    <w:rsid w:val="00587E34"/>
    <w:rsid w:val="005C3D1A"/>
    <w:rsid w:val="005D0657"/>
    <w:rsid w:val="005D31C7"/>
    <w:rsid w:val="005D412F"/>
    <w:rsid w:val="005D5DE2"/>
    <w:rsid w:val="00607ED7"/>
    <w:rsid w:val="00615C96"/>
    <w:rsid w:val="0063591C"/>
    <w:rsid w:val="00662693"/>
    <w:rsid w:val="00693D7C"/>
    <w:rsid w:val="006A121F"/>
    <w:rsid w:val="006A306C"/>
    <w:rsid w:val="006C2FA5"/>
    <w:rsid w:val="006E2A55"/>
    <w:rsid w:val="006F4764"/>
    <w:rsid w:val="007010A1"/>
    <w:rsid w:val="007115BD"/>
    <w:rsid w:val="0072526B"/>
    <w:rsid w:val="007616EF"/>
    <w:rsid w:val="007C247A"/>
    <w:rsid w:val="007C3ADD"/>
    <w:rsid w:val="007F19BC"/>
    <w:rsid w:val="007F2A4C"/>
    <w:rsid w:val="0080218B"/>
    <w:rsid w:val="00815C70"/>
    <w:rsid w:val="00837A63"/>
    <w:rsid w:val="00851925"/>
    <w:rsid w:val="00863E2E"/>
    <w:rsid w:val="00866A3D"/>
    <w:rsid w:val="008A2198"/>
    <w:rsid w:val="008F4821"/>
    <w:rsid w:val="008F4B6C"/>
    <w:rsid w:val="009139C7"/>
    <w:rsid w:val="00937F18"/>
    <w:rsid w:val="00981EE1"/>
    <w:rsid w:val="009A7A4E"/>
    <w:rsid w:val="009D12F0"/>
    <w:rsid w:val="009D64EC"/>
    <w:rsid w:val="009F4C4E"/>
    <w:rsid w:val="009F6139"/>
    <w:rsid w:val="00A26548"/>
    <w:rsid w:val="00A67B57"/>
    <w:rsid w:val="00A818DD"/>
    <w:rsid w:val="00A9048C"/>
    <w:rsid w:val="00AA2AC6"/>
    <w:rsid w:val="00AA39DB"/>
    <w:rsid w:val="00AC0BE4"/>
    <w:rsid w:val="00AC6A06"/>
    <w:rsid w:val="00AF0D7A"/>
    <w:rsid w:val="00AF47A0"/>
    <w:rsid w:val="00B115C5"/>
    <w:rsid w:val="00B6658B"/>
    <w:rsid w:val="00B80AA2"/>
    <w:rsid w:val="00B908E2"/>
    <w:rsid w:val="00B90C2D"/>
    <w:rsid w:val="00B97698"/>
    <w:rsid w:val="00BA75A6"/>
    <w:rsid w:val="00BB5AB7"/>
    <w:rsid w:val="00BC24CA"/>
    <w:rsid w:val="00BD3BD5"/>
    <w:rsid w:val="00C048C9"/>
    <w:rsid w:val="00C07AE6"/>
    <w:rsid w:val="00C26907"/>
    <w:rsid w:val="00C924CD"/>
    <w:rsid w:val="00CA05A6"/>
    <w:rsid w:val="00CB5458"/>
    <w:rsid w:val="00CB58C3"/>
    <w:rsid w:val="00CC45C4"/>
    <w:rsid w:val="00CC6C7B"/>
    <w:rsid w:val="00CD1CEE"/>
    <w:rsid w:val="00CF109E"/>
    <w:rsid w:val="00D0051A"/>
    <w:rsid w:val="00D0549E"/>
    <w:rsid w:val="00D16E21"/>
    <w:rsid w:val="00D23CEE"/>
    <w:rsid w:val="00D30093"/>
    <w:rsid w:val="00D3322A"/>
    <w:rsid w:val="00D71F9B"/>
    <w:rsid w:val="00D7537A"/>
    <w:rsid w:val="00D81B26"/>
    <w:rsid w:val="00DA2AF3"/>
    <w:rsid w:val="00DD29C2"/>
    <w:rsid w:val="00DD7A00"/>
    <w:rsid w:val="00DE63D2"/>
    <w:rsid w:val="00E15ACF"/>
    <w:rsid w:val="00E44634"/>
    <w:rsid w:val="00E56C7F"/>
    <w:rsid w:val="00E75C2B"/>
    <w:rsid w:val="00E86BEC"/>
    <w:rsid w:val="00E9510E"/>
    <w:rsid w:val="00EA1168"/>
    <w:rsid w:val="00EC5DE1"/>
    <w:rsid w:val="00EF0317"/>
    <w:rsid w:val="00EF13BF"/>
    <w:rsid w:val="00F77152"/>
    <w:rsid w:val="00F94054"/>
    <w:rsid w:val="00FC0B45"/>
    <w:rsid w:val="00FD54BF"/>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D8840CF"/>
  <w15:chartTrackingRefBased/>
  <w15:docId w15:val="{2F39B787-8653-4B54-82B3-8FB326D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9BC"/>
    <w:pPr>
      <w:spacing w:after="0" w:line="240" w:lineRule="auto"/>
    </w:pPr>
    <w:rPr>
      <w:lang w:val="en-CA"/>
    </w:rPr>
  </w:style>
  <w:style w:type="paragraph" w:styleId="Header">
    <w:name w:val="header"/>
    <w:basedOn w:val="Normal"/>
    <w:link w:val="HeaderChar"/>
    <w:uiPriority w:val="99"/>
    <w:unhideWhenUsed/>
    <w:rsid w:val="0005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16A"/>
    <w:rPr>
      <w:lang w:val="en-CA"/>
    </w:rPr>
  </w:style>
  <w:style w:type="paragraph" w:styleId="Footer">
    <w:name w:val="footer"/>
    <w:basedOn w:val="Normal"/>
    <w:link w:val="FooterChar"/>
    <w:uiPriority w:val="99"/>
    <w:unhideWhenUsed/>
    <w:rsid w:val="0005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6A"/>
    <w:rPr>
      <w:lang w:val="en-CA"/>
    </w:rPr>
  </w:style>
  <w:style w:type="paragraph" w:styleId="ListParagraph">
    <w:name w:val="List Paragraph"/>
    <w:basedOn w:val="Normal"/>
    <w:uiPriority w:val="34"/>
    <w:qFormat/>
    <w:rsid w:val="00240DAC"/>
    <w:pPr>
      <w:ind w:left="720"/>
      <w:contextualSpacing/>
    </w:pPr>
  </w:style>
  <w:style w:type="paragraph" w:styleId="BalloonText">
    <w:name w:val="Balloon Text"/>
    <w:basedOn w:val="Normal"/>
    <w:link w:val="BalloonTextChar"/>
    <w:uiPriority w:val="99"/>
    <w:semiHidden/>
    <w:unhideWhenUsed/>
    <w:rsid w:val="00E8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EC"/>
    <w:rPr>
      <w:rFonts w:ascii="Segoe UI" w:hAnsi="Segoe UI" w:cs="Segoe UI"/>
      <w:sz w:val="18"/>
      <w:szCs w:val="18"/>
      <w:lang w:val="en-CA"/>
    </w:rPr>
  </w:style>
  <w:style w:type="character" w:styleId="CommentReference">
    <w:name w:val="annotation reference"/>
    <w:basedOn w:val="DefaultParagraphFont"/>
    <w:uiPriority w:val="99"/>
    <w:semiHidden/>
    <w:unhideWhenUsed/>
    <w:rsid w:val="002B0339"/>
    <w:rPr>
      <w:sz w:val="16"/>
      <w:szCs w:val="16"/>
    </w:rPr>
  </w:style>
  <w:style w:type="paragraph" w:styleId="CommentText">
    <w:name w:val="annotation text"/>
    <w:basedOn w:val="Normal"/>
    <w:link w:val="CommentTextChar"/>
    <w:uiPriority w:val="99"/>
    <w:semiHidden/>
    <w:unhideWhenUsed/>
    <w:rsid w:val="002B0339"/>
    <w:pPr>
      <w:spacing w:line="240" w:lineRule="auto"/>
    </w:pPr>
    <w:rPr>
      <w:sz w:val="20"/>
      <w:szCs w:val="20"/>
    </w:rPr>
  </w:style>
  <w:style w:type="character" w:customStyle="1" w:styleId="CommentTextChar">
    <w:name w:val="Comment Text Char"/>
    <w:basedOn w:val="DefaultParagraphFont"/>
    <w:link w:val="CommentText"/>
    <w:uiPriority w:val="99"/>
    <w:semiHidden/>
    <w:rsid w:val="002B0339"/>
    <w:rPr>
      <w:sz w:val="20"/>
      <w:szCs w:val="20"/>
      <w:lang w:val="en-CA"/>
    </w:rPr>
  </w:style>
  <w:style w:type="paragraph" w:styleId="CommentSubject">
    <w:name w:val="annotation subject"/>
    <w:basedOn w:val="CommentText"/>
    <w:next w:val="CommentText"/>
    <w:link w:val="CommentSubjectChar"/>
    <w:uiPriority w:val="99"/>
    <w:semiHidden/>
    <w:unhideWhenUsed/>
    <w:rsid w:val="002B0339"/>
    <w:rPr>
      <w:b/>
      <w:bCs/>
    </w:rPr>
  </w:style>
  <w:style w:type="character" w:customStyle="1" w:styleId="CommentSubjectChar">
    <w:name w:val="Comment Subject Char"/>
    <w:basedOn w:val="CommentTextChar"/>
    <w:link w:val="CommentSubject"/>
    <w:uiPriority w:val="99"/>
    <w:semiHidden/>
    <w:rsid w:val="002B0339"/>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074">
      <w:bodyDiv w:val="1"/>
      <w:marLeft w:val="0"/>
      <w:marRight w:val="0"/>
      <w:marTop w:val="0"/>
      <w:marBottom w:val="0"/>
      <w:divBdr>
        <w:top w:val="none" w:sz="0" w:space="0" w:color="auto"/>
        <w:left w:val="none" w:sz="0" w:space="0" w:color="auto"/>
        <w:bottom w:val="none" w:sz="0" w:space="0" w:color="auto"/>
        <w:right w:val="none" w:sz="0" w:space="0" w:color="auto"/>
      </w:divBdr>
    </w:div>
    <w:div w:id="351808445">
      <w:bodyDiv w:val="1"/>
      <w:marLeft w:val="0"/>
      <w:marRight w:val="0"/>
      <w:marTop w:val="0"/>
      <w:marBottom w:val="0"/>
      <w:divBdr>
        <w:top w:val="none" w:sz="0" w:space="0" w:color="auto"/>
        <w:left w:val="none" w:sz="0" w:space="0" w:color="auto"/>
        <w:bottom w:val="none" w:sz="0" w:space="0" w:color="auto"/>
        <w:right w:val="none" w:sz="0" w:space="0" w:color="auto"/>
      </w:divBdr>
    </w:div>
    <w:div w:id="1582644778">
      <w:bodyDiv w:val="1"/>
      <w:marLeft w:val="0"/>
      <w:marRight w:val="0"/>
      <w:marTop w:val="0"/>
      <w:marBottom w:val="0"/>
      <w:divBdr>
        <w:top w:val="none" w:sz="0" w:space="0" w:color="auto"/>
        <w:left w:val="none" w:sz="0" w:space="0" w:color="auto"/>
        <w:bottom w:val="none" w:sz="0" w:space="0" w:color="auto"/>
        <w:right w:val="none" w:sz="0" w:space="0" w:color="auto"/>
      </w:divBdr>
    </w:div>
    <w:div w:id="16570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Zsolnay, Tamás (Tom)</dc:creator>
  <cp:keywords/>
  <dc:description/>
  <cp:lastModifiedBy>Broome, Debbie</cp:lastModifiedBy>
  <cp:revision>6</cp:revision>
  <cp:lastPrinted>2020-06-16T16:09:00Z</cp:lastPrinted>
  <dcterms:created xsi:type="dcterms:W3CDTF">2024-01-31T16:41:00Z</dcterms:created>
  <dcterms:modified xsi:type="dcterms:W3CDTF">2024-06-03T17:35:00Z</dcterms:modified>
</cp:coreProperties>
</file>